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464C9" w14:textId="08D0BD48" w:rsidR="00B61207" w:rsidRDefault="00C56D3A" w:rsidP="00F3025E">
      <w:pPr>
        <w:spacing w:before="315" w:after="0" w:line="360" w:lineRule="auto"/>
        <w:ind w:left="-30"/>
      </w:pPr>
      <w:r>
        <w:rPr>
          <w:rFonts w:ascii="inter" w:eastAsia="inter" w:hAnsi="inter" w:cs="inter"/>
          <w:b/>
          <w:color w:val="000000"/>
          <w:sz w:val="24"/>
        </w:rPr>
        <w:t>Critical Analysis of the EES Assessment of Contaminated Land Impacts for the Western Renewables Link</w:t>
      </w:r>
    </w:p>
    <w:p w14:paraId="2F4B7014" w14:textId="77777777" w:rsidR="00B61207" w:rsidRDefault="00C56D3A" w:rsidP="00F3025E">
      <w:pPr>
        <w:spacing w:before="315" w:after="0" w:line="360" w:lineRule="auto"/>
        <w:ind w:left="-30"/>
      </w:pPr>
      <w:r>
        <w:rPr>
          <w:rFonts w:ascii="inter" w:eastAsia="inter" w:hAnsi="inter" w:cs="inter"/>
          <w:b/>
          <w:color w:val="000000"/>
          <w:sz w:val="24"/>
        </w:rPr>
        <w:t>1. Summary of the EES’s Contaminated Land Assessment</w:t>
      </w:r>
    </w:p>
    <w:p w14:paraId="7C1768E2" w14:textId="77777777" w:rsidR="00B61207" w:rsidRDefault="00C56D3A" w:rsidP="00F3025E">
      <w:pPr>
        <w:spacing w:before="315" w:after="0" w:line="360" w:lineRule="auto"/>
        <w:ind w:left="-30"/>
      </w:pPr>
      <w:r>
        <w:rPr>
          <w:rFonts w:ascii="inter" w:eastAsia="inter" w:hAnsi="inter" w:cs="inter"/>
          <w:b/>
          <w:color w:val="000000"/>
          <w:sz w:val="24"/>
        </w:rPr>
        <w:t>Baseline Characterization and Predicted Impacts</w:t>
      </w:r>
    </w:p>
    <w:p w14:paraId="291F9A18" w14:textId="77777777" w:rsidR="00B61207" w:rsidRDefault="00C56D3A" w:rsidP="00F3025E">
      <w:pPr>
        <w:numPr>
          <w:ilvl w:val="0"/>
          <w:numId w:val="1"/>
        </w:numPr>
        <w:spacing w:before="105" w:after="0" w:line="360" w:lineRule="auto"/>
      </w:pPr>
      <w:r>
        <w:rPr>
          <w:rFonts w:ascii="inter" w:eastAsia="inter" w:hAnsi="inter" w:cs="inter"/>
          <w:b/>
          <w:color w:val="000000"/>
        </w:rPr>
        <w:t>Baseline Characterization:</w:t>
      </w:r>
      <w:r>
        <w:rPr>
          <w:rFonts w:ascii="inter" w:eastAsia="inter" w:hAnsi="inter" w:cs="inter"/>
          <w:color w:val="000000"/>
        </w:rPr>
        <w:t xml:space="preserve"> The EES identifies potential sources of contamination along the project corridor, including historic gold mining, sand and gravel quarries, agricultural land, and a closed landfill near Sydenham. Soil investigations and desktop reviews were conducted, but findings indicate no sites with significant contamination from EPA records or prior assessments. However, there is acknowledgment of possible localized contamination and areas with potential acid sulfate soils (ASS) or acid sulfate rock (ASR)</w:t>
      </w:r>
      <w:bookmarkStart w:id="0" w:name="fnref1"/>
      <w:bookmarkEnd w:id="0"/>
      <w:r>
        <w:fldChar w:fldCharType="begin"/>
      </w:r>
      <w:r>
        <w:instrText>HYPERLINK \l "fn1" \h</w:instrText>
      </w:r>
      <w:r>
        <w:fldChar w:fldCharType="separate"/>
      </w:r>
      <w:r>
        <w:rPr>
          <w:rFonts w:ascii="inter" w:eastAsia="inter" w:hAnsi="inter" w:cs="inter"/>
          <w:u w:val="single"/>
          <w:vertAlign w:val="superscript"/>
        </w:rPr>
        <w:t>[1]</w:t>
      </w:r>
      <w:r>
        <w:fldChar w:fldCharType="end"/>
      </w:r>
      <w:r>
        <w:rPr>
          <w:rFonts w:ascii="inter" w:eastAsia="inter" w:hAnsi="inter" w:cs="inter"/>
          <w:color w:val="000000"/>
        </w:rPr>
        <w:t>.</w:t>
      </w:r>
    </w:p>
    <w:p w14:paraId="3C674517" w14:textId="77777777" w:rsidR="00B61207" w:rsidRDefault="00C56D3A" w:rsidP="00F3025E">
      <w:pPr>
        <w:numPr>
          <w:ilvl w:val="0"/>
          <w:numId w:val="1"/>
        </w:numPr>
        <w:spacing w:before="105" w:after="0" w:line="360" w:lineRule="auto"/>
      </w:pPr>
      <w:r>
        <w:rPr>
          <w:rFonts w:ascii="inter" w:eastAsia="inter" w:hAnsi="inter" w:cs="inter"/>
          <w:b/>
          <w:color w:val="000000"/>
        </w:rPr>
        <w:t>Predicted Construction Impacts:</w:t>
      </w:r>
      <w:r>
        <w:rPr>
          <w:rFonts w:ascii="inter" w:eastAsia="inter" w:hAnsi="inter" w:cs="inter"/>
          <w:color w:val="000000"/>
        </w:rPr>
        <w:t xml:space="preserve"> Key risks include:</w:t>
      </w:r>
    </w:p>
    <w:p w14:paraId="60D249F0" w14:textId="77777777" w:rsidR="00B61207" w:rsidRDefault="00C56D3A" w:rsidP="00F3025E">
      <w:pPr>
        <w:numPr>
          <w:ilvl w:val="1"/>
          <w:numId w:val="1"/>
        </w:numPr>
        <w:spacing w:before="105" w:after="0" w:line="360" w:lineRule="auto"/>
      </w:pPr>
      <w:r>
        <w:rPr>
          <w:rFonts w:ascii="inter" w:eastAsia="inter" w:hAnsi="inter" w:cs="inter"/>
          <w:color w:val="000000"/>
        </w:rPr>
        <w:t>Encountering contaminated soils, groundwater, or ASS during earthworks.</w:t>
      </w:r>
    </w:p>
    <w:p w14:paraId="7E6B5A12" w14:textId="77777777" w:rsidR="00B61207" w:rsidRDefault="00C56D3A" w:rsidP="00F3025E">
      <w:pPr>
        <w:numPr>
          <w:ilvl w:val="1"/>
          <w:numId w:val="1"/>
        </w:numPr>
        <w:spacing w:before="105" w:after="0" w:line="360" w:lineRule="auto"/>
      </w:pPr>
      <w:r>
        <w:rPr>
          <w:rFonts w:ascii="inter" w:eastAsia="inter" w:hAnsi="inter" w:cs="inter"/>
          <w:color w:val="000000"/>
        </w:rPr>
        <w:t>Mobilization of contaminants through excavation, piling, dewatering, or spoil stockpiling.</w:t>
      </w:r>
    </w:p>
    <w:p w14:paraId="776B553A" w14:textId="77777777" w:rsidR="00B61207" w:rsidRDefault="00C56D3A" w:rsidP="00F3025E">
      <w:pPr>
        <w:numPr>
          <w:ilvl w:val="1"/>
          <w:numId w:val="1"/>
        </w:numPr>
        <w:spacing w:before="105" w:after="0" w:line="360" w:lineRule="auto"/>
      </w:pPr>
      <w:r>
        <w:rPr>
          <w:rFonts w:ascii="inter" w:eastAsia="inter" w:hAnsi="inter" w:cs="inter"/>
          <w:color w:val="000000"/>
        </w:rPr>
        <w:t>Spills of oils, chemicals, or waste during construction.</w:t>
      </w:r>
    </w:p>
    <w:p w14:paraId="6BB19977" w14:textId="77777777" w:rsidR="00B61207" w:rsidRDefault="00C56D3A" w:rsidP="00F3025E">
      <w:pPr>
        <w:numPr>
          <w:ilvl w:val="1"/>
          <w:numId w:val="1"/>
        </w:numPr>
        <w:spacing w:before="105" w:after="0" w:line="360" w:lineRule="auto"/>
      </w:pPr>
      <w:r>
        <w:rPr>
          <w:rFonts w:ascii="inter" w:eastAsia="inter" w:hAnsi="inter" w:cs="inter"/>
          <w:color w:val="000000"/>
        </w:rPr>
        <w:t>Generation and management of up to 50,000 m³ of spoil, with the potential for contaminated dust or runoff.</w:t>
      </w:r>
    </w:p>
    <w:p w14:paraId="17594CC4" w14:textId="77777777" w:rsidR="00B61207" w:rsidRDefault="00C56D3A" w:rsidP="00F3025E">
      <w:pPr>
        <w:numPr>
          <w:ilvl w:val="0"/>
          <w:numId w:val="1"/>
        </w:numPr>
        <w:spacing w:before="105" w:after="0" w:line="360" w:lineRule="auto"/>
      </w:pPr>
      <w:r>
        <w:rPr>
          <w:rFonts w:ascii="inter" w:eastAsia="inter" w:hAnsi="inter" w:cs="inter"/>
          <w:b/>
          <w:color w:val="000000"/>
        </w:rPr>
        <w:t>Operational and Decommissioning Impacts:</w:t>
      </w:r>
      <w:r>
        <w:rPr>
          <w:rFonts w:ascii="inter" w:eastAsia="inter" w:hAnsi="inter" w:cs="inter"/>
          <w:color w:val="000000"/>
        </w:rPr>
        <w:t xml:space="preserve"> Risks include exposure to reused contaminated spoil, small-scale spills of hazardous materials, and disturbance of contaminated soils during future works. Decommissioning impacts are expected to mirror those during construction.</w:t>
      </w:r>
    </w:p>
    <w:p w14:paraId="57E2A948" w14:textId="77777777" w:rsidR="00B61207" w:rsidRDefault="00C56D3A" w:rsidP="00F3025E">
      <w:pPr>
        <w:spacing w:before="315" w:after="0" w:line="360" w:lineRule="auto"/>
        <w:ind w:left="-30"/>
      </w:pPr>
      <w:r>
        <w:rPr>
          <w:rFonts w:ascii="inter" w:eastAsia="inter" w:hAnsi="inter" w:cs="inter"/>
          <w:b/>
          <w:color w:val="000000"/>
          <w:sz w:val="24"/>
        </w:rPr>
        <w:t>Stated Mitigation Measures</w:t>
      </w:r>
    </w:p>
    <w:p w14:paraId="2D852432" w14:textId="77777777" w:rsidR="00B61207" w:rsidRDefault="00C56D3A" w:rsidP="00F3025E">
      <w:pPr>
        <w:numPr>
          <w:ilvl w:val="0"/>
          <w:numId w:val="2"/>
        </w:numPr>
        <w:spacing w:before="105" w:after="0" w:line="360" w:lineRule="auto"/>
      </w:pPr>
      <w:r>
        <w:rPr>
          <w:rFonts w:ascii="inter" w:eastAsia="inter" w:hAnsi="inter" w:cs="inter"/>
          <w:b/>
          <w:color w:val="000000"/>
        </w:rPr>
        <w:t>Pre-Construction Investigations:</w:t>
      </w:r>
      <w:r>
        <w:rPr>
          <w:rFonts w:ascii="inter" w:eastAsia="inter" w:hAnsi="inter" w:cs="inter"/>
          <w:color w:val="000000"/>
        </w:rPr>
        <w:t xml:space="preserve"> Targeted contaminated land assessments prior to earthworks, following NEPM 2013 guidelines.</w:t>
      </w:r>
    </w:p>
    <w:p w14:paraId="67CA615C" w14:textId="77777777" w:rsidR="00B61207" w:rsidRDefault="00C56D3A" w:rsidP="00F3025E">
      <w:pPr>
        <w:numPr>
          <w:ilvl w:val="0"/>
          <w:numId w:val="2"/>
        </w:numPr>
        <w:spacing w:before="105" w:after="0" w:line="360" w:lineRule="auto"/>
      </w:pPr>
      <w:r>
        <w:rPr>
          <w:rFonts w:ascii="inter" w:eastAsia="inter" w:hAnsi="inter" w:cs="inter"/>
          <w:b/>
          <w:color w:val="000000"/>
        </w:rPr>
        <w:t>Construction Environmental Management Plan (CEMP):</w:t>
      </w:r>
      <w:r>
        <w:rPr>
          <w:rFonts w:ascii="inter" w:eastAsia="inter" w:hAnsi="inter" w:cs="inter"/>
          <w:color w:val="000000"/>
        </w:rPr>
        <w:t xml:space="preserve"> Includes contaminated land management, spoil management, and contingency/unexpected finds plans, with requirements for EPA-compliant handling, storage, and disposal.</w:t>
      </w:r>
    </w:p>
    <w:p w14:paraId="5A060666" w14:textId="77777777" w:rsidR="00B61207" w:rsidRDefault="00C56D3A" w:rsidP="00F3025E">
      <w:pPr>
        <w:numPr>
          <w:ilvl w:val="0"/>
          <w:numId w:val="2"/>
        </w:numPr>
        <w:spacing w:before="105" w:after="0" w:line="360" w:lineRule="auto"/>
      </w:pPr>
      <w:r>
        <w:rPr>
          <w:rFonts w:ascii="inter" w:eastAsia="inter" w:hAnsi="inter" w:cs="inter"/>
          <w:b/>
          <w:color w:val="000000"/>
        </w:rPr>
        <w:t>Spoil Management:</w:t>
      </w:r>
      <w:r>
        <w:rPr>
          <w:rFonts w:ascii="inter" w:eastAsia="inter" w:hAnsi="inter" w:cs="inter"/>
          <w:color w:val="000000"/>
        </w:rPr>
        <w:t xml:space="preserve"> Classification, treatment, and lawful disposal or reuse of spoil, including management of ASS/ASR.</w:t>
      </w:r>
    </w:p>
    <w:p w14:paraId="34305A30" w14:textId="77777777" w:rsidR="00B61207" w:rsidRDefault="00C56D3A" w:rsidP="00F3025E">
      <w:pPr>
        <w:numPr>
          <w:ilvl w:val="0"/>
          <w:numId w:val="2"/>
        </w:numPr>
        <w:spacing w:before="105" w:after="0" w:line="360" w:lineRule="auto"/>
      </w:pPr>
      <w:r>
        <w:rPr>
          <w:rFonts w:ascii="inter" w:eastAsia="inter" w:hAnsi="inter" w:cs="inter"/>
          <w:b/>
          <w:color w:val="000000"/>
        </w:rPr>
        <w:t>Operational Controls:</w:t>
      </w:r>
      <w:r>
        <w:rPr>
          <w:rFonts w:ascii="inter" w:eastAsia="inter" w:hAnsi="inter" w:cs="inter"/>
          <w:color w:val="000000"/>
        </w:rPr>
        <w:t xml:space="preserve"> AusNet’s operational procedures for managing contaminated soils, spills, and hazardous materials.</w:t>
      </w:r>
    </w:p>
    <w:p w14:paraId="3E00A2D4" w14:textId="77777777" w:rsidR="00B61207" w:rsidRDefault="00C56D3A" w:rsidP="00F3025E">
      <w:pPr>
        <w:numPr>
          <w:ilvl w:val="0"/>
          <w:numId w:val="2"/>
        </w:numPr>
        <w:spacing w:before="105" w:after="0" w:line="360" w:lineRule="auto"/>
      </w:pPr>
      <w:r>
        <w:rPr>
          <w:rFonts w:ascii="inter" w:eastAsia="inter" w:hAnsi="inter" w:cs="inter"/>
          <w:b/>
          <w:color w:val="000000"/>
        </w:rPr>
        <w:t>Environmental Performance Requirements (EPRs):</w:t>
      </w:r>
      <w:r>
        <w:rPr>
          <w:rFonts w:ascii="inter" w:eastAsia="inter" w:hAnsi="inter" w:cs="inter"/>
          <w:color w:val="000000"/>
        </w:rPr>
        <w:t xml:space="preserve"> Prescriptive and performance-based EPRs to ensure compliance with the Environment Protection Act 2017 (Vic) and the General Environmental Duty (GED).</w:t>
      </w:r>
    </w:p>
    <w:p w14:paraId="39736C1E" w14:textId="77777777" w:rsidR="00B61207" w:rsidRDefault="00C56D3A" w:rsidP="00F3025E">
      <w:pPr>
        <w:spacing w:before="315" w:after="0" w:line="360" w:lineRule="auto"/>
        <w:ind w:left="-30"/>
      </w:pPr>
      <w:r>
        <w:rPr>
          <w:rFonts w:ascii="inter" w:eastAsia="inter" w:hAnsi="inter" w:cs="inter"/>
          <w:b/>
          <w:color w:val="000000"/>
          <w:sz w:val="24"/>
        </w:rPr>
        <w:t>Claims Regarding Compliance and Residual Impacts</w:t>
      </w:r>
    </w:p>
    <w:p w14:paraId="1C079138" w14:textId="147A31FD" w:rsidR="00B61207" w:rsidRDefault="009662AB" w:rsidP="00F3025E">
      <w:pPr>
        <w:numPr>
          <w:ilvl w:val="0"/>
          <w:numId w:val="3"/>
        </w:numPr>
        <w:spacing w:before="105" w:after="0" w:line="360" w:lineRule="auto"/>
      </w:pPr>
      <w:r w:rsidRPr="00F3025E">
        <w:rPr>
          <w:rFonts w:ascii="inter" w:eastAsia="inter" w:hAnsi="inter" w:cs="inter"/>
          <w:color w:val="000000"/>
        </w:rPr>
        <w:t>AusNet</w:t>
      </w:r>
      <w:r w:rsidR="00C56D3A" w:rsidRPr="00F3025E">
        <w:rPr>
          <w:rFonts w:ascii="inter" w:eastAsia="inter" w:hAnsi="inter" w:cs="inter"/>
          <w:color w:val="000000"/>
        </w:rPr>
        <w:t xml:space="preserve"> asserts </w:t>
      </w:r>
      <w:r w:rsidR="00FF652B" w:rsidRPr="00F3025E">
        <w:rPr>
          <w:rFonts w:ascii="inter" w:eastAsia="inter" w:hAnsi="inter" w:cs="inter"/>
          <w:color w:val="000000"/>
        </w:rPr>
        <w:t xml:space="preserve">in the EES </w:t>
      </w:r>
      <w:r w:rsidR="00C56D3A" w:rsidRPr="00F3025E">
        <w:rPr>
          <w:rFonts w:ascii="inter" w:eastAsia="inter" w:hAnsi="inter" w:cs="inter"/>
          <w:color w:val="000000"/>
        </w:rPr>
        <w:t>that, with</w:t>
      </w:r>
      <w:r w:rsidR="00C56D3A">
        <w:rPr>
          <w:rFonts w:ascii="inter" w:eastAsia="inter" w:hAnsi="inter" w:cs="inter"/>
          <w:color w:val="000000"/>
        </w:rPr>
        <w:t xml:space="preserve"> mitigation, all residual impacts from contaminated land will be “negligible,” including risks from encountering unknown contamination, mobilizing contaminants, spoil management, and spills during construction, operation, or decommissioning</w:t>
      </w:r>
      <w:bookmarkStart w:id="1" w:name="fnref1:1"/>
      <w:bookmarkEnd w:id="1"/>
      <w:r w:rsidR="00C56D3A">
        <w:fldChar w:fldCharType="begin"/>
      </w:r>
      <w:r w:rsidR="00C56D3A">
        <w:instrText>HYPERLINK \l "fn1" \h</w:instrText>
      </w:r>
      <w:r w:rsidR="00C56D3A">
        <w:fldChar w:fldCharType="separate"/>
      </w:r>
      <w:r w:rsidR="00C56D3A">
        <w:rPr>
          <w:rFonts w:ascii="inter" w:eastAsia="inter" w:hAnsi="inter" w:cs="inter"/>
          <w:u w:val="single"/>
          <w:vertAlign w:val="superscript"/>
        </w:rPr>
        <w:t>[1]</w:t>
      </w:r>
      <w:r w:rsidR="00C56D3A">
        <w:fldChar w:fldCharType="end"/>
      </w:r>
      <w:r w:rsidR="00C56D3A">
        <w:rPr>
          <w:rFonts w:ascii="inter" w:eastAsia="inter" w:hAnsi="inter" w:cs="inter"/>
          <w:color w:val="000000"/>
        </w:rPr>
        <w:t>.</w:t>
      </w:r>
    </w:p>
    <w:p w14:paraId="695ACE68" w14:textId="77777777" w:rsidR="00B61207" w:rsidRDefault="00C56D3A" w:rsidP="00F3025E">
      <w:pPr>
        <w:spacing w:before="315" w:after="0" w:line="360" w:lineRule="auto"/>
        <w:ind w:left="-30"/>
      </w:pPr>
      <w:r>
        <w:rPr>
          <w:rFonts w:ascii="inter" w:eastAsia="inter" w:hAnsi="inter" w:cs="inter"/>
          <w:b/>
          <w:color w:val="000000"/>
          <w:sz w:val="24"/>
        </w:rPr>
        <w:t>2. Critical Evaluation of the EES Methodology</w:t>
      </w:r>
    </w:p>
    <w:p w14:paraId="5BAD6D68" w14:textId="77777777" w:rsidR="00B61207" w:rsidRDefault="00C56D3A" w:rsidP="00F3025E">
      <w:pPr>
        <w:spacing w:before="315" w:after="0" w:line="360" w:lineRule="auto"/>
        <w:ind w:left="-30"/>
      </w:pPr>
      <w:r>
        <w:rPr>
          <w:rFonts w:ascii="inter" w:eastAsia="inter" w:hAnsi="inter" w:cs="inter"/>
          <w:b/>
          <w:color w:val="000000"/>
          <w:sz w:val="24"/>
        </w:rPr>
        <w:t>Baseline Data and Assessment</w:t>
      </w:r>
    </w:p>
    <w:p w14:paraId="274B11C3" w14:textId="77777777" w:rsidR="00B61207" w:rsidRDefault="00C56D3A" w:rsidP="00F3025E">
      <w:pPr>
        <w:numPr>
          <w:ilvl w:val="0"/>
          <w:numId w:val="4"/>
        </w:numPr>
        <w:spacing w:before="105" w:after="0" w:line="360" w:lineRule="auto"/>
      </w:pPr>
      <w:r>
        <w:rPr>
          <w:rFonts w:ascii="inter" w:eastAsia="inter" w:hAnsi="inter" w:cs="inter"/>
          <w:b/>
          <w:color w:val="000000"/>
        </w:rPr>
        <w:t>Reliance on Desktop and Limited Field Data:</w:t>
      </w:r>
      <w:r>
        <w:rPr>
          <w:rFonts w:ascii="inter" w:eastAsia="inter" w:hAnsi="inter" w:cs="inter"/>
          <w:color w:val="000000"/>
        </w:rPr>
        <w:t xml:space="preserve"> The EES’s baseline relies heavily on desktop reviews and limited soil sampling, which may not capture all localized contamination, especially in areas with complex land use histories or undocumented dumping.</w:t>
      </w:r>
    </w:p>
    <w:p w14:paraId="05F53DA9" w14:textId="77777777" w:rsidR="00B61207" w:rsidRDefault="00C56D3A" w:rsidP="00F3025E">
      <w:pPr>
        <w:numPr>
          <w:ilvl w:val="0"/>
          <w:numId w:val="4"/>
        </w:numPr>
        <w:spacing w:before="105" w:after="0" w:line="360" w:lineRule="auto"/>
      </w:pPr>
      <w:r>
        <w:rPr>
          <w:rFonts w:ascii="inter" w:eastAsia="inter" w:hAnsi="inter" w:cs="inter"/>
          <w:b/>
          <w:color w:val="000000"/>
        </w:rPr>
        <w:t>Potential for Data Gaps:</w:t>
      </w:r>
      <w:r>
        <w:rPr>
          <w:rFonts w:ascii="inter" w:eastAsia="inter" w:hAnsi="inter" w:cs="inter"/>
          <w:color w:val="000000"/>
        </w:rPr>
        <w:t xml:space="preserve"> The absence of significant contamination in prior investigations does not preclude the presence of unrecorded or subsurface contamination, particularly in agricultural, mining, or landfill-adjacent areas.</w:t>
      </w:r>
    </w:p>
    <w:p w14:paraId="2C4B2B60" w14:textId="77777777" w:rsidR="00B61207" w:rsidRDefault="00C56D3A" w:rsidP="00F3025E">
      <w:pPr>
        <w:spacing w:before="315" w:after="0" w:line="360" w:lineRule="auto"/>
        <w:ind w:left="-30"/>
      </w:pPr>
      <w:r>
        <w:rPr>
          <w:rFonts w:ascii="inter" w:eastAsia="inter" w:hAnsi="inter" w:cs="inter"/>
          <w:b/>
          <w:color w:val="000000"/>
          <w:sz w:val="24"/>
        </w:rPr>
        <w:t>Predictive Modeling and Risk Screening</w:t>
      </w:r>
    </w:p>
    <w:p w14:paraId="5ACBD771" w14:textId="77777777" w:rsidR="00B61207" w:rsidRDefault="00C56D3A" w:rsidP="00F3025E">
      <w:pPr>
        <w:numPr>
          <w:ilvl w:val="0"/>
          <w:numId w:val="5"/>
        </w:numPr>
        <w:spacing w:before="105" w:after="0" w:line="360" w:lineRule="auto"/>
      </w:pPr>
      <w:r>
        <w:rPr>
          <w:rFonts w:ascii="inter" w:eastAsia="inter" w:hAnsi="inter" w:cs="inter"/>
          <w:b/>
          <w:color w:val="000000"/>
        </w:rPr>
        <w:t>Qualitative Risk Ratings:</w:t>
      </w:r>
      <w:r>
        <w:rPr>
          <w:rFonts w:ascii="inter" w:eastAsia="inter" w:hAnsi="inter" w:cs="inter"/>
          <w:color w:val="000000"/>
        </w:rPr>
        <w:t xml:space="preserve"> The risk screening process uses qualitative categories (negligible, minor, moderate, major, severe) but lacks quantitative modeling of contaminant migration, exposure pathways, or worst-case scenarios (e.g., major rainfall events mobilizing contaminants).</w:t>
      </w:r>
    </w:p>
    <w:p w14:paraId="5914F486" w14:textId="77777777" w:rsidR="00B61207" w:rsidRDefault="00C56D3A" w:rsidP="00F3025E">
      <w:pPr>
        <w:numPr>
          <w:ilvl w:val="0"/>
          <w:numId w:val="5"/>
        </w:numPr>
        <w:spacing w:before="105" w:after="0" w:line="360" w:lineRule="auto"/>
      </w:pPr>
      <w:r>
        <w:rPr>
          <w:rFonts w:ascii="inter" w:eastAsia="inter" w:hAnsi="inter" w:cs="inter"/>
          <w:b/>
          <w:color w:val="000000"/>
        </w:rPr>
        <w:t>Cumulative Impact Assessment:</w:t>
      </w:r>
      <w:r>
        <w:rPr>
          <w:rFonts w:ascii="inter" w:eastAsia="inter" w:hAnsi="inter" w:cs="inter"/>
          <w:color w:val="000000"/>
        </w:rPr>
        <w:t xml:space="preserve"> The EES concludes that cumulative impacts are negligible and manageable on a case-by-case basis, without presenting a quantitative, catchment-wide or regional assessment.</w:t>
      </w:r>
    </w:p>
    <w:p w14:paraId="13F596CB" w14:textId="77777777" w:rsidR="00B61207" w:rsidRDefault="00C56D3A" w:rsidP="00F3025E">
      <w:pPr>
        <w:spacing w:before="315" w:after="0" w:line="360" w:lineRule="auto"/>
        <w:ind w:left="-30"/>
      </w:pPr>
      <w:r>
        <w:rPr>
          <w:rFonts w:ascii="inter" w:eastAsia="inter" w:hAnsi="inter" w:cs="inter"/>
          <w:b/>
          <w:color w:val="000000"/>
          <w:sz w:val="24"/>
        </w:rPr>
        <w:t>Monitoring, Mitigation, and Enforcement</w:t>
      </w:r>
    </w:p>
    <w:p w14:paraId="4FA6A29E" w14:textId="77777777" w:rsidR="00B61207" w:rsidRDefault="00C56D3A" w:rsidP="00F3025E">
      <w:pPr>
        <w:numPr>
          <w:ilvl w:val="0"/>
          <w:numId w:val="6"/>
        </w:numPr>
        <w:spacing w:before="105" w:after="0" w:line="360" w:lineRule="auto"/>
      </w:pPr>
      <w:r>
        <w:rPr>
          <w:rFonts w:ascii="inter" w:eastAsia="inter" w:hAnsi="inter" w:cs="inter"/>
          <w:b/>
          <w:color w:val="000000"/>
        </w:rPr>
        <w:t>Monitoring Gaps:</w:t>
      </w:r>
      <w:r>
        <w:rPr>
          <w:rFonts w:ascii="inter" w:eastAsia="inter" w:hAnsi="inter" w:cs="inter"/>
          <w:color w:val="000000"/>
        </w:rPr>
        <w:t xml:space="preserve"> The EES proposes ongoing inspection and monitoring but does not specify frequency, locations, or real-time reporting. There is limited detail on how unexpected contamination will be detected and managed during rapid construction phases.</w:t>
      </w:r>
    </w:p>
    <w:p w14:paraId="46B95C11" w14:textId="77777777" w:rsidR="00B61207" w:rsidRDefault="00C56D3A" w:rsidP="00F3025E">
      <w:pPr>
        <w:numPr>
          <w:ilvl w:val="0"/>
          <w:numId w:val="6"/>
        </w:numPr>
        <w:spacing w:before="105" w:after="0" w:line="360" w:lineRule="auto"/>
      </w:pPr>
      <w:r>
        <w:rPr>
          <w:rFonts w:ascii="inter" w:eastAsia="inter" w:hAnsi="inter" w:cs="inter"/>
          <w:b/>
          <w:color w:val="000000"/>
        </w:rPr>
        <w:t>Generic Controls:</w:t>
      </w:r>
      <w:r>
        <w:rPr>
          <w:rFonts w:ascii="inter" w:eastAsia="inter" w:hAnsi="inter" w:cs="inter"/>
          <w:color w:val="000000"/>
        </w:rPr>
        <w:t xml:space="preserve"> Many mitigation measures are standard practice and performance-based, lacking site-specific prescriptions or enforceable thresholds for action.</w:t>
      </w:r>
    </w:p>
    <w:p w14:paraId="500DDBC1" w14:textId="77777777" w:rsidR="00B61207" w:rsidRDefault="00C56D3A" w:rsidP="00F3025E">
      <w:pPr>
        <w:numPr>
          <w:ilvl w:val="0"/>
          <w:numId w:val="6"/>
        </w:numPr>
        <w:spacing w:before="105" w:after="0" w:line="360" w:lineRule="auto"/>
      </w:pPr>
      <w:r>
        <w:rPr>
          <w:rFonts w:ascii="inter" w:eastAsia="inter" w:hAnsi="inter" w:cs="inter"/>
          <w:b/>
          <w:color w:val="000000"/>
        </w:rPr>
        <w:t>Contingency Planning:</w:t>
      </w:r>
      <w:r>
        <w:rPr>
          <w:rFonts w:ascii="inter" w:eastAsia="inter" w:hAnsi="inter" w:cs="inter"/>
          <w:color w:val="000000"/>
        </w:rPr>
        <w:t xml:space="preserve"> While a contingency/unexpected finds plan is required, the EES does not provide detailed protocols for rapid response, remediation, or notification in the event of significant contamination discovery.</w:t>
      </w:r>
    </w:p>
    <w:p w14:paraId="3EB46450" w14:textId="77777777" w:rsidR="00B61207" w:rsidRDefault="00C56D3A" w:rsidP="00F3025E">
      <w:pPr>
        <w:spacing w:before="315" w:after="0" w:line="360" w:lineRule="auto"/>
        <w:ind w:left="-30"/>
      </w:pPr>
      <w:r>
        <w:rPr>
          <w:rFonts w:ascii="inter" w:eastAsia="inter" w:hAnsi="inter" w:cs="inter"/>
          <w:b/>
          <w:color w:val="000000"/>
          <w:sz w:val="24"/>
        </w:rPr>
        <w:t>3. Systematic Challenge of EES Findings Using Independent Evidence</w:t>
      </w:r>
    </w:p>
    <w:p w14:paraId="29792BCD" w14:textId="77777777" w:rsidR="00B61207" w:rsidRDefault="00C56D3A" w:rsidP="00F3025E">
      <w:pPr>
        <w:spacing w:before="315" w:after="0" w:line="360" w:lineRule="auto"/>
        <w:ind w:left="-30"/>
      </w:pPr>
      <w:r>
        <w:rPr>
          <w:rFonts w:ascii="inter" w:eastAsia="inter" w:hAnsi="inter" w:cs="inter"/>
          <w:b/>
          <w:color w:val="000000"/>
          <w:sz w:val="24"/>
        </w:rPr>
        <w:t>Underestimation of Contamination Risks</w:t>
      </w:r>
    </w:p>
    <w:p w14:paraId="2892300A" w14:textId="77777777" w:rsidR="00B61207" w:rsidRDefault="00C56D3A" w:rsidP="00F3025E">
      <w:pPr>
        <w:numPr>
          <w:ilvl w:val="0"/>
          <w:numId w:val="7"/>
        </w:numPr>
        <w:spacing w:before="105" w:after="0" w:line="360" w:lineRule="auto"/>
      </w:pPr>
      <w:r>
        <w:rPr>
          <w:rFonts w:ascii="inter" w:eastAsia="inter" w:hAnsi="inter" w:cs="inter"/>
          <w:b/>
          <w:color w:val="000000"/>
        </w:rPr>
        <w:t>Peer-Reviewed Evidence:</w:t>
      </w:r>
      <w:r>
        <w:rPr>
          <w:rFonts w:ascii="inter" w:eastAsia="inter" w:hAnsi="inter" w:cs="inter"/>
          <w:color w:val="000000"/>
        </w:rPr>
        <w:t xml:space="preserve"> Infrastructure projects in rural and mining-affected areas frequently encounter unanticipated contamination, including heavy metals, hydrocarbons, and persistent pesticides, even where initial assessments indicate low risk.</w:t>
      </w:r>
    </w:p>
    <w:p w14:paraId="0B49BDF0" w14:textId="77777777" w:rsidR="00B61207" w:rsidRDefault="00C56D3A" w:rsidP="00F3025E">
      <w:pPr>
        <w:numPr>
          <w:ilvl w:val="0"/>
          <w:numId w:val="7"/>
        </w:numPr>
        <w:spacing w:before="105" w:after="0" w:line="360" w:lineRule="auto"/>
      </w:pPr>
      <w:r>
        <w:rPr>
          <w:rFonts w:ascii="inter" w:eastAsia="inter" w:hAnsi="inter" w:cs="inter"/>
          <w:b/>
          <w:color w:val="000000"/>
        </w:rPr>
        <w:t>Legacy and Diffuse Contamination:</w:t>
      </w:r>
      <w:r>
        <w:rPr>
          <w:rFonts w:ascii="inter" w:eastAsia="inter" w:hAnsi="inter" w:cs="inter"/>
          <w:color w:val="000000"/>
        </w:rPr>
        <w:t xml:space="preserve"> Agricultural land can harbor legacy contaminants (e.g., organochlorines, arsenic), and former mining or landfill sites may have subsurface plumes that are not detected by surface sampling alone.</w:t>
      </w:r>
    </w:p>
    <w:p w14:paraId="27084C8C" w14:textId="77777777" w:rsidR="00B61207" w:rsidRDefault="00C56D3A" w:rsidP="00F3025E">
      <w:pPr>
        <w:numPr>
          <w:ilvl w:val="0"/>
          <w:numId w:val="7"/>
        </w:numPr>
        <w:spacing w:before="105" w:after="0" w:line="360" w:lineRule="auto"/>
      </w:pPr>
      <w:r>
        <w:rPr>
          <w:rFonts w:ascii="inter" w:eastAsia="inter" w:hAnsi="inter" w:cs="inter"/>
          <w:b/>
          <w:color w:val="000000"/>
        </w:rPr>
        <w:t>ASS/ASR Risks:</w:t>
      </w:r>
      <w:r>
        <w:rPr>
          <w:rFonts w:ascii="inter" w:eastAsia="inter" w:hAnsi="inter" w:cs="inter"/>
          <w:color w:val="000000"/>
        </w:rPr>
        <w:t xml:space="preserve"> Disturbance of acid sulfate soils or rocks can lead to significant acidification of runoff and watercourses, with impacts that may persist for years if not proactively managed.</w:t>
      </w:r>
    </w:p>
    <w:p w14:paraId="046D5EB8" w14:textId="77777777" w:rsidR="00B61207" w:rsidRDefault="00C56D3A" w:rsidP="00F3025E">
      <w:pPr>
        <w:spacing w:before="315" w:after="0" w:line="360" w:lineRule="auto"/>
        <w:ind w:left="-30"/>
      </w:pPr>
      <w:r>
        <w:rPr>
          <w:rFonts w:ascii="inter" w:eastAsia="inter" w:hAnsi="inter" w:cs="inter"/>
          <w:b/>
          <w:color w:val="000000"/>
          <w:sz w:val="24"/>
        </w:rPr>
        <w:t>Spill and Mobilization Risks</w:t>
      </w:r>
    </w:p>
    <w:p w14:paraId="72D773BC" w14:textId="77777777" w:rsidR="00B61207" w:rsidRDefault="00C56D3A" w:rsidP="00F3025E">
      <w:pPr>
        <w:numPr>
          <w:ilvl w:val="0"/>
          <w:numId w:val="8"/>
        </w:numPr>
        <w:spacing w:before="105" w:after="0" w:line="360" w:lineRule="auto"/>
      </w:pPr>
      <w:r>
        <w:rPr>
          <w:rFonts w:ascii="inter" w:eastAsia="inter" w:hAnsi="inter" w:cs="inter"/>
          <w:b/>
          <w:color w:val="000000"/>
        </w:rPr>
        <w:t>Construction-Phase Spills:</w:t>
      </w:r>
      <w:r>
        <w:rPr>
          <w:rFonts w:ascii="inter" w:eastAsia="inter" w:hAnsi="inter" w:cs="inter"/>
          <w:color w:val="000000"/>
        </w:rPr>
        <w:t xml:space="preserve"> Studies show that construction-phase spills of fuels, lubricants, and chemicals are a leading cause of localized contamination, particularly during high-activity periods or in wet weather.</w:t>
      </w:r>
    </w:p>
    <w:p w14:paraId="4E7FEAA8" w14:textId="77777777" w:rsidR="00B61207" w:rsidRDefault="00C56D3A" w:rsidP="00F3025E">
      <w:pPr>
        <w:numPr>
          <w:ilvl w:val="0"/>
          <w:numId w:val="8"/>
        </w:numPr>
        <w:spacing w:before="105" w:after="0" w:line="360" w:lineRule="auto"/>
      </w:pPr>
      <w:r>
        <w:rPr>
          <w:rFonts w:ascii="inter" w:eastAsia="inter" w:hAnsi="inter" w:cs="inter"/>
          <w:b/>
          <w:color w:val="000000"/>
        </w:rPr>
        <w:t>Spoil Management Failures:</w:t>
      </w:r>
      <w:r>
        <w:rPr>
          <w:rFonts w:ascii="inter" w:eastAsia="inter" w:hAnsi="inter" w:cs="inter"/>
          <w:color w:val="000000"/>
        </w:rPr>
        <w:t xml:space="preserve"> Improperly managed spoil piles can leach contaminants into surface water or groundwater, especially if heavy rainfall occurs before stabilization or removal.</w:t>
      </w:r>
    </w:p>
    <w:p w14:paraId="1C5A1682" w14:textId="77777777" w:rsidR="00B61207" w:rsidRDefault="00C56D3A" w:rsidP="00F3025E">
      <w:pPr>
        <w:spacing w:before="315" w:after="0" w:line="360" w:lineRule="auto"/>
        <w:ind w:left="-30"/>
      </w:pPr>
      <w:r>
        <w:rPr>
          <w:rFonts w:ascii="inter" w:eastAsia="inter" w:hAnsi="inter" w:cs="inter"/>
          <w:b/>
          <w:color w:val="000000"/>
          <w:sz w:val="24"/>
        </w:rPr>
        <w:t>Cumulative and Downstream Effects</w:t>
      </w:r>
    </w:p>
    <w:p w14:paraId="471E4D25" w14:textId="77777777" w:rsidR="00B61207" w:rsidRDefault="00C56D3A" w:rsidP="00F3025E">
      <w:pPr>
        <w:numPr>
          <w:ilvl w:val="0"/>
          <w:numId w:val="9"/>
        </w:numPr>
        <w:spacing w:before="105" w:after="0" w:line="360" w:lineRule="auto"/>
      </w:pPr>
      <w:r>
        <w:rPr>
          <w:rFonts w:ascii="inter" w:eastAsia="inter" w:hAnsi="inter" w:cs="inter"/>
          <w:b/>
          <w:color w:val="000000"/>
        </w:rPr>
        <w:t>Catchment-Scale Impacts:</w:t>
      </w:r>
      <w:r>
        <w:rPr>
          <w:rFonts w:ascii="inter" w:eastAsia="inter" w:hAnsi="inter" w:cs="inter"/>
          <w:color w:val="000000"/>
        </w:rPr>
        <w:t xml:space="preserve"> Even small, localized contamination events can have cumulative effects on downstream water quality and ecosystems, especially in interconnected catchments or flood-prone areas.</w:t>
      </w:r>
    </w:p>
    <w:p w14:paraId="70826F10" w14:textId="77777777" w:rsidR="00B61207" w:rsidRDefault="00C56D3A" w:rsidP="00F3025E">
      <w:pPr>
        <w:numPr>
          <w:ilvl w:val="0"/>
          <w:numId w:val="9"/>
        </w:numPr>
        <w:spacing w:before="105" w:after="0" w:line="360" w:lineRule="auto"/>
      </w:pPr>
      <w:r>
        <w:rPr>
          <w:rFonts w:ascii="inter" w:eastAsia="inter" w:hAnsi="inter" w:cs="inter"/>
          <w:b/>
          <w:color w:val="000000"/>
        </w:rPr>
        <w:t>Long-Term Liability:</w:t>
      </w:r>
      <w:r>
        <w:rPr>
          <w:rFonts w:ascii="inter" w:eastAsia="inter" w:hAnsi="inter" w:cs="inter"/>
          <w:color w:val="000000"/>
        </w:rPr>
        <w:t xml:space="preserve"> If contaminated spoil is reused or left in situ, there is a risk of future exposure during maintenance or subsequent land use changes, creating long-term liability for landholders and the proponent.</w:t>
      </w:r>
    </w:p>
    <w:p w14:paraId="56EBA4DC" w14:textId="77777777" w:rsidR="00B61207" w:rsidRDefault="00C56D3A" w:rsidP="00F3025E">
      <w:pPr>
        <w:spacing w:before="315" w:after="0" w:line="360" w:lineRule="auto"/>
        <w:ind w:left="-30"/>
      </w:pPr>
      <w:r>
        <w:rPr>
          <w:rFonts w:ascii="inter" w:eastAsia="inter" w:hAnsi="inter" w:cs="inter"/>
          <w:b/>
          <w:color w:val="000000"/>
          <w:sz w:val="24"/>
        </w:rPr>
        <w:t>4. Assessment of EES Mitigation and Monitoring Commitments</w:t>
      </w:r>
    </w:p>
    <w:tbl>
      <w:tblPr>
        <w:tblStyle w:val="NormalGrid"/>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7"/>
        <w:gridCol w:w="4940"/>
        <w:gridCol w:w="1513"/>
      </w:tblGrid>
      <w:tr w:rsidR="00B61207" w14:paraId="004D491D" w14:textId="77777777" w:rsidTr="00B37960">
        <w:trPr>
          <w:cantSplit/>
          <w:tblCellSpacing w:w="0" w:type="dxa"/>
          <w:jc w:val="center"/>
        </w:trPr>
        <w:tc>
          <w:tcPr>
            <w:tcW w:w="0" w:type="auto"/>
          </w:tcPr>
          <w:p w14:paraId="29206311" w14:textId="77777777" w:rsidR="00B61207" w:rsidRDefault="00C56D3A" w:rsidP="00F3025E">
            <w:pPr>
              <w:spacing w:line="360" w:lineRule="auto"/>
            </w:pPr>
            <w:r>
              <w:rPr>
                <w:rFonts w:ascii="inter" w:eastAsia="inter" w:hAnsi="inter" w:cs="inter"/>
                <w:b/>
                <w:color w:val="000000"/>
                <w:sz w:val="17"/>
              </w:rPr>
              <w:t>EES Commitment</w:t>
            </w:r>
          </w:p>
        </w:tc>
        <w:tc>
          <w:tcPr>
            <w:tcW w:w="0" w:type="auto"/>
          </w:tcPr>
          <w:p w14:paraId="5A85402B" w14:textId="77777777" w:rsidR="00B61207" w:rsidRDefault="00C56D3A" w:rsidP="00F3025E">
            <w:pPr>
              <w:spacing w:line="360" w:lineRule="auto"/>
            </w:pPr>
            <w:r>
              <w:rPr>
                <w:rFonts w:ascii="inter" w:eastAsia="inter" w:hAnsi="inter" w:cs="inter"/>
                <w:b/>
                <w:color w:val="000000"/>
                <w:sz w:val="17"/>
              </w:rPr>
              <w:t>Best Practice/Independent Evidence</w:t>
            </w:r>
          </w:p>
        </w:tc>
        <w:tc>
          <w:tcPr>
            <w:tcW w:w="0" w:type="auto"/>
          </w:tcPr>
          <w:p w14:paraId="44FB85EA" w14:textId="77777777" w:rsidR="00B61207" w:rsidRDefault="00C56D3A" w:rsidP="00F3025E">
            <w:pPr>
              <w:spacing w:line="360" w:lineRule="auto"/>
            </w:pPr>
            <w:r>
              <w:rPr>
                <w:rFonts w:ascii="inter" w:eastAsia="inter" w:hAnsi="inter" w:cs="inter"/>
                <w:b/>
                <w:color w:val="000000"/>
                <w:sz w:val="17"/>
              </w:rPr>
              <w:t>Assessment</w:t>
            </w:r>
          </w:p>
        </w:tc>
      </w:tr>
      <w:tr w:rsidR="00B61207" w14:paraId="49734957" w14:textId="77777777" w:rsidTr="00B37960">
        <w:trPr>
          <w:cantSplit/>
          <w:tblCellSpacing w:w="0" w:type="dxa"/>
          <w:jc w:val="center"/>
        </w:trPr>
        <w:tc>
          <w:tcPr>
            <w:tcW w:w="0" w:type="auto"/>
          </w:tcPr>
          <w:p w14:paraId="2FFA8E9D" w14:textId="77777777" w:rsidR="00B61207" w:rsidRDefault="00C56D3A" w:rsidP="00F3025E">
            <w:pPr>
              <w:spacing w:line="360" w:lineRule="auto"/>
            </w:pPr>
            <w:r>
              <w:rPr>
                <w:rFonts w:ascii="inter" w:eastAsia="inter" w:hAnsi="inter" w:cs="inter"/>
                <w:color w:val="000000"/>
                <w:sz w:val="17"/>
              </w:rPr>
              <w:t>Pre-construction assessments and CEMP</w:t>
            </w:r>
          </w:p>
        </w:tc>
        <w:tc>
          <w:tcPr>
            <w:tcW w:w="0" w:type="auto"/>
          </w:tcPr>
          <w:p w14:paraId="3A3DF5E7" w14:textId="77777777" w:rsidR="00B61207" w:rsidRDefault="00C56D3A" w:rsidP="00F3025E">
            <w:pPr>
              <w:spacing w:line="360" w:lineRule="auto"/>
            </w:pPr>
            <w:r>
              <w:rPr>
                <w:rFonts w:ascii="inter" w:eastAsia="inter" w:hAnsi="inter" w:cs="inter"/>
                <w:color w:val="000000"/>
                <w:sz w:val="17"/>
              </w:rPr>
              <w:t>Best practice requires comprehensive, site-specific, and continuous monitoring</w:t>
            </w:r>
          </w:p>
        </w:tc>
        <w:tc>
          <w:tcPr>
            <w:tcW w:w="0" w:type="auto"/>
          </w:tcPr>
          <w:p w14:paraId="760F711D" w14:textId="77777777" w:rsidR="00B61207" w:rsidRDefault="00C56D3A" w:rsidP="00F3025E">
            <w:pPr>
              <w:spacing w:line="360" w:lineRule="auto"/>
            </w:pPr>
            <w:r>
              <w:rPr>
                <w:rFonts w:ascii="inter" w:eastAsia="inter" w:hAnsi="inter" w:cs="inter"/>
                <w:color w:val="000000"/>
                <w:sz w:val="17"/>
              </w:rPr>
              <w:t>Partially met</w:t>
            </w:r>
          </w:p>
        </w:tc>
      </w:tr>
      <w:tr w:rsidR="00B61207" w14:paraId="037A9027" w14:textId="77777777" w:rsidTr="00B37960">
        <w:trPr>
          <w:cantSplit/>
          <w:tblCellSpacing w:w="0" w:type="dxa"/>
          <w:jc w:val="center"/>
        </w:trPr>
        <w:tc>
          <w:tcPr>
            <w:tcW w:w="0" w:type="auto"/>
          </w:tcPr>
          <w:p w14:paraId="66D16658" w14:textId="77777777" w:rsidR="00B61207" w:rsidRDefault="00C56D3A" w:rsidP="00F3025E">
            <w:pPr>
              <w:spacing w:line="360" w:lineRule="auto"/>
            </w:pPr>
            <w:r>
              <w:rPr>
                <w:rFonts w:ascii="inter" w:eastAsia="inter" w:hAnsi="inter" w:cs="inter"/>
                <w:color w:val="000000"/>
                <w:sz w:val="17"/>
              </w:rPr>
              <w:t>Generic EPRs and performance-based controls</w:t>
            </w:r>
          </w:p>
        </w:tc>
        <w:tc>
          <w:tcPr>
            <w:tcW w:w="0" w:type="auto"/>
          </w:tcPr>
          <w:p w14:paraId="0A5032B6" w14:textId="77777777" w:rsidR="00B61207" w:rsidRDefault="00C56D3A" w:rsidP="00F3025E">
            <w:pPr>
              <w:spacing w:line="360" w:lineRule="auto"/>
            </w:pPr>
            <w:r>
              <w:rPr>
                <w:rFonts w:ascii="inter" w:eastAsia="inter" w:hAnsi="inter" w:cs="inter"/>
                <w:color w:val="000000"/>
                <w:sz w:val="17"/>
              </w:rPr>
              <w:t>Site-specific, prescriptive, and enforceable controls preferred</w:t>
            </w:r>
          </w:p>
        </w:tc>
        <w:tc>
          <w:tcPr>
            <w:tcW w:w="0" w:type="auto"/>
          </w:tcPr>
          <w:p w14:paraId="41B62371" w14:textId="77777777" w:rsidR="00B61207" w:rsidRDefault="00C56D3A" w:rsidP="00F3025E">
            <w:pPr>
              <w:spacing w:line="360" w:lineRule="auto"/>
            </w:pPr>
            <w:r>
              <w:rPr>
                <w:rFonts w:ascii="inter" w:eastAsia="inter" w:hAnsi="inter" w:cs="inter"/>
                <w:color w:val="000000"/>
                <w:sz w:val="17"/>
              </w:rPr>
              <w:t>Not robust</w:t>
            </w:r>
          </w:p>
        </w:tc>
      </w:tr>
      <w:tr w:rsidR="00B61207" w14:paraId="2DA202E9" w14:textId="77777777" w:rsidTr="00B37960">
        <w:trPr>
          <w:cantSplit/>
          <w:tblCellSpacing w:w="0" w:type="dxa"/>
          <w:jc w:val="center"/>
        </w:trPr>
        <w:tc>
          <w:tcPr>
            <w:tcW w:w="0" w:type="auto"/>
          </w:tcPr>
          <w:p w14:paraId="0FF8E371" w14:textId="77777777" w:rsidR="00B61207" w:rsidRDefault="00C56D3A" w:rsidP="00F3025E">
            <w:pPr>
              <w:spacing w:line="360" w:lineRule="auto"/>
            </w:pPr>
            <w:r>
              <w:rPr>
                <w:rFonts w:ascii="inter" w:eastAsia="inter" w:hAnsi="inter" w:cs="inter"/>
                <w:color w:val="000000"/>
                <w:sz w:val="17"/>
              </w:rPr>
              <w:t>Spoil management and contingency plans</w:t>
            </w:r>
          </w:p>
        </w:tc>
        <w:tc>
          <w:tcPr>
            <w:tcW w:w="0" w:type="auto"/>
          </w:tcPr>
          <w:p w14:paraId="5A3A0D29" w14:textId="77777777" w:rsidR="00B61207" w:rsidRDefault="00C56D3A" w:rsidP="00F3025E">
            <w:pPr>
              <w:spacing w:line="360" w:lineRule="auto"/>
            </w:pPr>
            <w:r>
              <w:rPr>
                <w:rFonts w:ascii="inter" w:eastAsia="inter" w:hAnsi="inter" w:cs="inter"/>
                <w:color w:val="000000"/>
                <w:sz w:val="17"/>
              </w:rPr>
              <w:t>Detailed, real-time protocols for spills and contamination events needed</w:t>
            </w:r>
          </w:p>
        </w:tc>
        <w:tc>
          <w:tcPr>
            <w:tcW w:w="0" w:type="auto"/>
          </w:tcPr>
          <w:p w14:paraId="0017D70F" w14:textId="77777777" w:rsidR="00B61207" w:rsidRDefault="00C56D3A" w:rsidP="00F3025E">
            <w:pPr>
              <w:spacing w:line="360" w:lineRule="auto"/>
            </w:pPr>
            <w:r>
              <w:rPr>
                <w:rFonts w:ascii="inter" w:eastAsia="inter" w:hAnsi="inter" w:cs="inter"/>
                <w:color w:val="000000"/>
                <w:sz w:val="17"/>
              </w:rPr>
              <w:t>Not robust</w:t>
            </w:r>
          </w:p>
        </w:tc>
      </w:tr>
      <w:tr w:rsidR="00B61207" w14:paraId="190FA50C" w14:textId="77777777" w:rsidTr="00B37960">
        <w:trPr>
          <w:cantSplit/>
          <w:tblCellSpacing w:w="0" w:type="dxa"/>
          <w:jc w:val="center"/>
        </w:trPr>
        <w:tc>
          <w:tcPr>
            <w:tcW w:w="0" w:type="auto"/>
          </w:tcPr>
          <w:p w14:paraId="3B5681C8" w14:textId="77777777" w:rsidR="00B61207" w:rsidRDefault="00C56D3A" w:rsidP="00F3025E">
            <w:pPr>
              <w:spacing w:line="360" w:lineRule="auto"/>
            </w:pPr>
            <w:r>
              <w:rPr>
                <w:rFonts w:ascii="inter" w:eastAsia="inter" w:hAnsi="inter" w:cs="inter"/>
                <w:color w:val="000000"/>
                <w:sz w:val="17"/>
              </w:rPr>
              <w:t>Residual impacts “negligible” with mitigation</w:t>
            </w:r>
          </w:p>
        </w:tc>
        <w:tc>
          <w:tcPr>
            <w:tcW w:w="0" w:type="auto"/>
          </w:tcPr>
          <w:p w14:paraId="00BDB4AB" w14:textId="77777777" w:rsidR="00B61207" w:rsidRDefault="00C56D3A" w:rsidP="00F3025E">
            <w:pPr>
              <w:spacing w:line="360" w:lineRule="auto"/>
            </w:pPr>
            <w:r>
              <w:rPr>
                <w:rFonts w:ascii="inter" w:eastAsia="inter" w:hAnsi="inter" w:cs="inter"/>
                <w:color w:val="000000"/>
                <w:sz w:val="17"/>
              </w:rPr>
              <w:t>Studies show unexpected finds and legacy contamination are common</w:t>
            </w:r>
          </w:p>
        </w:tc>
        <w:tc>
          <w:tcPr>
            <w:tcW w:w="0" w:type="auto"/>
          </w:tcPr>
          <w:p w14:paraId="08C8C3E4" w14:textId="77777777" w:rsidR="00B61207" w:rsidRDefault="00C56D3A" w:rsidP="00F3025E">
            <w:pPr>
              <w:spacing w:line="360" w:lineRule="auto"/>
            </w:pPr>
            <w:r>
              <w:rPr>
                <w:rFonts w:ascii="inter" w:eastAsia="inter" w:hAnsi="inter" w:cs="inter"/>
                <w:color w:val="000000"/>
                <w:sz w:val="17"/>
              </w:rPr>
              <w:t>Underestimated</w:t>
            </w:r>
          </w:p>
        </w:tc>
      </w:tr>
      <w:tr w:rsidR="00B61207" w14:paraId="24C53D8B" w14:textId="77777777" w:rsidTr="00B37960">
        <w:trPr>
          <w:cantSplit/>
          <w:tblCellSpacing w:w="0" w:type="dxa"/>
          <w:jc w:val="center"/>
        </w:trPr>
        <w:tc>
          <w:tcPr>
            <w:tcW w:w="0" w:type="auto"/>
          </w:tcPr>
          <w:p w14:paraId="083B8A94" w14:textId="77777777" w:rsidR="00B61207" w:rsidRDefault="00C56D3A" w:rsidP="00F3025E">
            <w:pPr>
              <w:spacing w:line="360" w:lineRule="auto"/>
            </w:pPr>
            <w:r>
              <w:rPr>
                <w:rFonts w:ascii="inter" w:eastAsia="inter" w:hAnsi="inter" w:cs="inter"/>
                <w:color w:val="000000"/>
                <w:sz w:val="17"/>
              </w:rPr>
              <w:t>Cumulative impacts “manageable”</w:t>
            </w:r>
          </w:p>
        </w:tc>
        <w:tc>
          <w:tcPr>
            <w:tcW w:w="0" w:type="auto"/>
          </w:tcPr>
          <w:p w14:paraId="6F3FF6FD" w14:textId="77777777" w:rsidR="00B61207" w:rsidRDefault="00C56D3A" w:rsidP="00F3025E">
            <w:pPr>
              <w:spacing w:line="360" w:lineRule="auto"/>
            </w:pPr>
            <w:r>
              <w:rPr>
                <w:rFonts w:ascii="inter" w:eastAsia="inter" w:hAnsi="inter" w:cs="inter"/>
                <w:color w:val="000000"/>
                <w:sz w:val="17"/>
              </w:rPr>
              <w:t>Catchment-wide and regional cumulative impacts often underestimated</w:t>
            </w:r>
          </w:p>
        </w:tc>
        <w:tc>
          <w:tcPr>
            <w:tcW w:w="0" w:type="auto"/>
          </w:tcPr>
          <w:p w14:paraId="03F33858" w14:textId="77777777" w:rsidR="00B61207" w:rsidRDefault="00C56D3A" w:rsidP="00F3025E">
            <w:pPr>
              <w:spacing w:line="360" w:lineRule="auto"/>
            </w:pPr>
            <w:r>
              <w:rPr>
                <w:rFonts w:ascii="inter" w:eastAsia="inter" w:hAnsi="inter" w:cs="inter"/>
                <w:color w:val="000000"/>
                <w:sz w:val="17"/>
              </w:rPr>
              <w:t>Not credible</w:t>
            </w:r>
          </w:p>
        </w:tc>
      </w:tr>
    </w:tbl>
    <w:p w14:paraId="3DD6D277" w14:textId="77777777" w:rsidR="00B61207" w:rsidRDefault="00B61207" w:rsidP="00F3025E">
      <w:pPr>
        <w:spacing w:after="0"/>
      </w:pPr>
    </w:p>
    <w:p w14:paraId="7554F851" w14:textId="77777777" w:rsidR="00B61207" w:rsidRDefault="00C56D3A" w:rsidP="00F3025E">
      <w:pPr>
        <w:spacing w:before="315" w:after="0" w:line="360" w:lineRule="auto"/>
        <w:ind w:left="-30"/>
      </w:pPr>
      <w:r>
        <w:rPr>
          <w:rFonts w:ascii="inter" w:eastAsia="inter" w:hAnsi="inter" w:cs="inter"/>
          <w:b/>
          <w:color w:val="000000"/>
          <w:sz w:val="24"/>
        </w:rPr>
        <w:t>5. Demand for Rigorous Reassessment and Accountability</w:t>
      </w:r>
    </w:p>
    <w:p w14:paraId="57C73A81" w14:textId="77777777" w:rsidR="00B61207" w:rsidRDefault="00C56D3A" w:rsidP="00F3025E">
      <w:pPr>
        <w:numPr>
          <w:ilvl w:val="0"/>
          <w:numId w:val="10"/>
        </w:numPr>
        <w:spacing w:before="105" w:after="0" w:line="360" w:lineRule="auto"/>
      </w:pPr>
      <w:r>
        <w:rPr>
          <w:rFonts w:ascii="inter" w:eastAsia="inter" w:hAnsi="inter" w:cs="inter"/>
          <w:b/>
          <w:color w:val="000000"/>
        </w:rPr>
        <w:t>Comprehensive, Site-Specific Investigations:</w:t>
      </w:r>
      <w:r>
        <w:rPr>
          <w:rFonts w:ascii="inter" w:eastAsia="inter" w:hAnsi="inter" w:cs="inter"/>
          <w:color w:val="000000"/>
        </w:rPr>
        <w:t xml:space="preserve"> Require detailed, high-frequency baseline soil and groundwater sampling at all high-risk sites, including agricultural, mining, and landfill-adjacent areas.</w:t>
      </w:r>
    </w:p>
    <w:p w14:paraId="111C431A" w14:textId="77777777" w:rsidR="00B61207" w:rsidRDefault="00C56D3A" w:rsidP="00F3025E">
      <w:pPr>
        <w:numPr>
          <w:ilvl w:val="0"/>
          <w:numId w:val="10"/>
        </w:numPr>
        <w:spacing w:before="105" w:after="0" w:line="360" w:lineRule="auto"/>
      </w:pPr>
      <w:r>
        <w:rPr>
          <w:rFonts w:ascii="inter" w:eastAsia="inter" w:hAnsi="inter" w:cs="inter"/>
          <w:b/>
          <w:color w:val="000000"/>
        </w:rPr>
        <w:t>Quantitative Risk Modeling:</w:t>
      </w:r>
      <w:r>
        <w:rPr>
          <w:rFonts w:ascii="inter" w:eastAsia="inter" w:hAnsi="inter" w:cs="inter"/>
          <w:color w:val="000000"/>
        </w:rPr>
        <w:t xml:space="preserve"> Employ quantitative contaminant migration and exposure modeling, with scenario analysis for worst-case events (e.g., major rainfall, construction delays).</w:t>
      </w:r>
    </w:p>
    <w:p w14:paraId="044706EE" w14:textId="77777777" w:rsidR="00B61207" w:rsidRDefault="00C56D3A" w:rsidP="00F3025E">
      <w:pPr>
        <w:numPr>
          <w:ilvl w:val="0"/>
          <w:numId w:val="10"/>
        </w:numPr>
        <w:spacing w:before="105" w:after="0" w:line="360" w:lineRule="auto"/>
      </w:pPr>
      <w:r>
        <w:rPr>
          <w:rFonts w:ascii="inter" w:eastAsia="inter" w:hAnsi="inter" w:cs="inter"/>
          <w:b/>
          <w:color w:val="000000"/>
        </w:rPr>
        <w:t>Robust, Enforceable Controls:</w:t>
      </w:r>
      <w:r>
        <w:rPr>
          <w:rFonts w:ascii="inter" w:eastAsia="inter" w:hAnsi="inter" w:cs="inter"/>
          <w:color w:val="000000"/>
        </w:rPr>
        <w:t xml:space="preserve"> Mandate site-specific, prescriptive mitigation and monitoring protocols, with clear action thresholds and public reporting.</w:t>
      </w:r>
    </w:p>
    <w:p w14:paraId="33E17AB4" w14:textId="77777777" w:rsidR="00B61207" w:rsidRDefault="00C56D3A" w:rsidP="00F3025E">
      <w:pPr>
        <w:numPr>
          <w:ilvl w:val="0"/>
          <w:numId w:val="10"/>
        </w:numPr>
        <w:spacing w:before="105" w:after="0" w:line="360" w:lineRule="auto"/>
      </w:pPr>
      <w:r>
        <w:rPr>
          <w:rFonts w:ascii="inter" w:eastAsia="inter" w:hAnsi="inter" w:cs="inter"/>
          <w:b/>
          <w:color w:val="000000"/>
        </w:rPr>
        <w:t>Transparent, Real-Time Monitoring:</w:t>
      </w:r>
      <w:r>
        <w:rPr>
          <w:rFonts w:ascii="inter" w:eastAsia="inter" w:hAnsi="inter" w:cs="inter"/>
          <w:color w:val="000000"/>
        </w:rPr>
        <w:t xml:space="preserve"> Implement continuous, transparent monitoring and public disclosure of contamination events, spoil management, and remediation outcomes.</w:t>
      </w:r>
    </w:p>
    <w:p w14:paraId="6C2D259A" w14:textId="77777777" w:rsidR="00B61207" w:rsidRDefault="00C56D3A" w:rsidP="00F3025E">
      <w:pPr>
        <w:numPr>
          <w:ilvl w:val="0"/>
          <w:numId w:val="10"/>
        </w:numPr>
        <w:spacing w:before="105" w:after="0" w:line="360" w:lineRule="auto"/>
      </w:pPr>
      <w:r>
        <w:rPr>
          <w:rFonts w:ascii="inter" w:eastAsia="inter" w:hAnsi="inter" w:cs="inter"/>
          <w:b/>
          <w:color w:val="000000"/>
        </w:rPr>
        <w:t>Cumulative Impact Assessment:</w:t>
      </w:r>
      <w:r>
        <w:rPr>
          <w:rFonts w:ascii="inter" w:eastAsia="inter" w:hAnsi="inter" w:cs="inter"/>
          <w:color w:val="000000"/>
        </w:rPr>
        <w:t xml:space="preserve"> Conduct regional and catchment-wide cumulative impact assessments, accounting for all concurrent and future projects.</w:t>
      </w:r>
    </w:p>
    <w:p w14:paraId="1B087976" w14:textId="77777777" w:rsidR="00B61207" w:rsidRDefault="00C56D3A" w:rsidP="00F3025E">
      <w:pPr>
        <w:spacing w:before="315" w:after="0" w:line="360" w:lineRule="auto"/>
        <w:ind w:left="-30"/>
      </w:pPr>
      <w:r>
        <w:rPr>
          <w:rFonts w:ascii="inter" w:eastAsia="inter" w:hAnsi="inter" w:cs="inter"/>
          <w:b/>
          <w:color w:val="000000"/>
          <w:sz w:val="24"/>
        </w:rPr>
        <w:t>Conclusion</w:t>
      </w:r>
    </w:p>
    <w:p w14:paraId="2F2868BA" w14:textId="1708A649" w:rsidR="00B61207" w:rsidRDefault="00CD24E7" w:rsidP="00F3025E">
      <w:pPr>
        <w:spacing w:after="0" w:line="360" w:lineRule="auto"/>
      </w:pPr>
      <w:r w:rsidRPr="00F3025E">
        <w:rPr>
          <w:rFonts w:ascii="inter" w:eastAsia="inter" w:hAnsi="inter" w:cs="inter"/>
          <w:color w:val="000000"/>
        </w:rPr>
        <w:t>AusNet’s</w:t>
      </w:r>
      <w:r w:rsidR="00C56D3A" w:rsidRPr="00F3025E">
        <w:rPr>
          <w:rFonts w:ascii="inter" w:eastAsia="inter" w:hAnsi="inter" w:cs="inter"/>
          <w:color w:val="000000"/>
        </w:rPr>
        <w:t xml:space="preserve"> EES assessment of contaminated land impacts for the Western Renewables Link is inadequate by best-practice standards and independent evidence. It underestimates the risks of encountering, mobilizing, and managing contamination, lacks robust site-specific controls and monitoring, and fails to provide the transparency and accountability required to protect human health, landholders, and the environment. </w:t>
      </w:r>
      <w:bookmarkStart w:id="2" w:name="fnref1:2"/>
      <w:bookmarkEnd w:id="2"/>
      <w:r w:rsidR="004E276B" w:rsidRPr="00F3025E">
        <w:rPr>
          <w:rFonts w:ascii="inter" w:eastAsia="inter" w:hAnsi="inter" w:cs="inter"/>
          <w:color w:val="000000"/>
        </w:rPr>
        <w:t>A rigorous, site-specific reassessment is required to establish true impacts. As presented, the EES does not provide a sound basis for the Minister to approve the assessment of contaminated land impacts from the WRL or the mitigation proposed</w:t>
      </w:r>
      <w:r w:rsidR="004E276B" w:rsidRPr="00F3025E">
        <w:rPr>
          <w:rFonts w:ascii="Times New Roman" w:eastAsia="Times New Roman" w:hAnsi="Times New Roman" w:cs="Times New Roman"/>
          <w:sz w:val="24"/>
          <w:szCs w:val="24"/>
          <w:lang w:eastAsia="en-AU"/>
        </w:rPr>
        <w:t>.</w:t>
      </w:r>
      <w:hyperlink w:anchor="fn1">
        <w:r w:rsidR="00C56D3A" w:rsidRPr="00F3025E">
          <w:rPr>
            <w:rFonts w:ascii="inter" w:eastAsia="inter" w:hAnsi="inter" w:cs="inter"/>
            <w:u w:val="single"/>
            <w:vertAlign w:val="superscript"/>
          </w:rPr>
          <w:t>[1]</w:t>
        </w:r>
      </w:hyperlink>
      <w:r w:rsidR="00C56D3A" w:rsidRPr="00F3025E">
        <w:rPr>
          <w:rFonts w:ascii="inter" w:eastAsia="inter" w:hAnsi="inter" w:cs="inter"/>
          <w:color w:val="000000"/>
        </w:rPr>
        <w:t>.</w:t>
      </w:r>
    </w:p>
    <w:p w14:paraId="3C467EA3" w14:textId="77777777" w:rsidR="00B61207" w:rsidRDefault="00C56D3A" w:rsidP="00F3025E">
      <w:pPr>
        <w:spacing w:after="0" w:line="360" w:lineRule="auto"/>
      </w:pPr>
      <w:r>
        <w:rPr>
          <w:rFonts w:ascii="inter" w:eastAsia="inter" w:hAnsi="inter" w:cs="inter"/>
          <w:b/>
          <w:color w:val="000000"/>
        </w:rPr>
        <w:t>Reference:</w:t>
      </w:r>
      <w:r>
        <w:rPr>
          <w:rFonts w:ascii="inter" w:eastAsia="inter" w:hAnsi="inter" w:cs="inter"/>
          <w:color w:val="000000"/>
        </w:rPr>
        <w:br/>
      </w:r>
      <w:bookmarkStart w:id="3" w:name="fnref1:3"/>
      <w:bookmarkEnd w:id="3"/>
      <w:r>
        <w:fldChar w:fldCharType="begin"/>
      </w:r>
      <w:r>
        <w:instrText>HYPERLINK \l "fn1" \h</w:instrText>
      </w:r>
      <w:r>
        <w:fldChar w:fldCharType="separate"/>
      </w:r>
      <w:r>
        <w:rPr>
          <w:rFonts w:ascii="inter" w:eastAsia="inter" w:hAnsi="inter" w:cs="inter"/>
          <w:u w:val="single"/>
          <w:vertAlign w:val="superscript"/>
        </w:rPr>
        <w:t>[1]</w:t>
      </w:r>
      <w:r>
        <w:fldChar w:fldCharType="end"/>
      </w:r>
      <w:r>
        <w:rPr>
          <w:rFonts w:ascii="inter" w:eastAsia="inter" w:hAnsi="inter" w:cs="inter"/>
          <w:color w:val="000000"/>
        </w:rPr>
        <w:t xml:space="preserve"> 23.-Chapter-23-Contaminated-land.pdf</w:t>
      </w:r>
    </w:p>
    <w:sectPr w:rsidR="00B61207">
      <w:pgSz w:w="12240" w:h="15840"/>
      <w:pgMar w:top="1365" w:right="1365" w:bottom="1365" w:left="13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inter">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5417E"/>
    <w:multiLevelType w:val="hybridMultilevel"/>
    <w:tmpl w:val="828011AC"/>
    <w:lvl w:ilvl="0" w:tplc="70D0775A">
      <w:start w:val="1"/>
      <w:numFmt w:val="decimal"/>
      <w:lvlText w:val="%1."/>
      <w:lvlJc w:val="left"/>
      <w:pPr>
        <w:tabs>
          <w:tab w:val="num" w:pos="900"/>
        </w:tabs>
        <w:ind w:left="540" w:hanging="360"/>
      </w:pPr>
    </w:lvl>
    <w:lvl w:ilvl="1" w:tplc="1812BC02">
      <w:numFmt w:val="decimal"/>
      <w:lvlText w:val=""/>
      <w:lvlJc w:val="left"/>
    </w:lvl>
    <w:lvl w:ilvl="2" w:tplc="42C8696A">
      <w:numFmt w:val="decimal"/>
      <w:lvlText w:val=""/>
      <w:lvlJc w:val="left"/>
    </w:lvl>
    <w:lvl w:ilvl="3" w:tplc="68A29618">
      <w:numFmt w:val="decimal"/>
      <w:lvlText w:val=""/>
      <w:lvlJc w:val="left"/>
    </w:lvl>
    <w:lvl w:ilvl="4" w:tplc="A1B06102">
      <w:numFmt w:val="decimal"/>
      <w:lvlText w:val=""/>
      <w:lvlJc w:val="left"/>
    </w:lvl>
    <w:lvl w:ilvl="5" w:tplc="E5EE8A30">
      <w:numFmt w:val="decimal"/>
      <w:lvlText w:val=""/>
      <w:lvlJc w:val="left"/>
    </w:lvl>
    <w:lvl w:ilvl="6" w:tplc="DD8CE1F4">
      <w:numFmt w:val="decimal"/>
      <w:lvlText w:val=""/>
      <w:lvlJc w:val="left"/>
    </w:lvl>
    <w:lvl w:ilvl="7" w:tplc="DBA4A842">
      <w:numFmt w:val="decimal"/>
      <w:lvlText w:val=""/>
      <w:lvlJc w:val="left"/>
    </w:lvl>
    <w:lvl w:ilvl="8" w:tplc="A0A0B246">
      <w:numFmt w:val="decimal"/>
      <w:lvlText w:val=""/>
      <w:lvlJc w:val="left"/>
    </w:lvl>
  </w:abstractNum>
  <w:abstractNum w:abstractNumId="1" w15:restartNumberingAfterBreak="0">
    <w:nsid w:val="112B44A7"/>
    <w:multiLevelType w:val="hybridMultilevel"/>
    <w:tmpl w:val="0AFEF6FA"/>
    <w:lvl w:ilvl="0" w:tplc="91FCEEB2">
      <w:start w:val="1"/>
      <w:numFmt w:val="bullet"/>
      <w:lvlText w:val=""/>
      <w:lvlJc w:val="left"/>
      <w:pPr>
        <w:tabs>
          <w:tab w:val="num" w:pos="900"/>
        </w:tabs>
        <w:ind w:left="540" w:hanging="360"/>
      </w:pPr>
      <w:rPr>
        <w:rFonts w:ascii="Symbol" w:hAnsi="Symbol" w:hint="default"/>
      </w:rPr>
    </w:lvl>
    <w:lvl w:ilvl="1" w:tplc="E774E4FC">
      <w:numFmt w:val="decimal"/>
      <w:lvlText w:val=""/>
      <w:lvlJc w:val="left"/>
    </w:lvl>
    <w:lvl w:ilvl="2" w:tplc="3DBE0B12">
      <w:numFmt w:val="decimal"/>
      <w:lvlText w:val=""/>
      <w:lvlJc w:val="left"/>
    </w:lvl>
    <w:lvl w:ilvl="3" w:tplc="2BA2382C">
      <w:numFmt w:val="decimal"/>
      <w:lvlText w:val=""/>
      <w:lvlJc w:val="left"/>
    </w:lvl>
    <w:lvl w:ilvl="4" w:tplc="60D43ABA">
      <w:numFmt w:val="decimal"/>
      <w:lvlText w:val=""/>
      <w:lvlJc w:val="left"/>
    </w:lvl>
    <w:lvl w:ilvl="5" w:tplc="540830D8">
      <w:numFmt w:val="decimal"/>
      <w:lvlText w:val=""/>
      <w:lvlJc w:val="left"/>
    </w:lvl>
    <w:lvl w:ilvl="6" w:tplc="2BBAE7A8">
      <w:numFmt w:val="decimal"/>
      <w:lvlText w:val=""/>
      <w:lvlJc w:val="left"/>
    </w:lvl>
    <w:lvl w:ilvl="7" w:tplc="A688479C">
      <w:numFmt w:val="decimal"/>
      <w:lvlText w:val=""/>
      <w:lvlJc w:val="left"/>
    </w:lvl>
    <w:lvl w:ilvl="8" w:tplc="A6660660">
      <w:numFmt w:val="decimal"/>
      <w:lvlText w:val=""/>
      <w:lvlJc w:val="left"/>
    </w:lvl>
  </w:abstractNum>
  <w:abstractNum w:abstractNumId="2" w15:restartNumberingAfterBreak="0">
    <w:nsid w:val="241B5F23"/>
    <w:multiLevelType w:val="hybridMultilevel"/>
    <w:tmpl w:val="F9FA92A8"/>
    <w:lvl w:ilvl="0" w:tplc="C0DC3A1E">
      <w:numFmt w:val="decimal"/>
      <w:lvlText w:val=""/>
      <w:lvlJc w:val="left"/>
    </w:lvl>
    <w:lvl w:ilvl="1" w:tplc="0CC0A298">
      <w:numFmt w:val="decimal"/>
      <w:lvlText w:val=""/>
      <w:lvlJc w:val="left"/>
    </w:lvl>
    <w:lvl w:ilvl="2" w:tplc="4A0862CC">
      <w:numFmt w:val="decimal"/>
      <w:lvlText w:val=""/>
      <w:lvlJc w:val="left"/>
    </w:lvl>
    <w:lvl w:ilvl="3" w:tplc="C50CFBB0">
      <w:numFmt w:val="decimal"/>
      <w:lvlText w:val=""/>
      <w:lvlJc w:val="left"/>
    </w:lvl>
    <w:lvl w:ilvl="4" w:tplc="346214DA">
      <w:numFmt w:val="decimal"/>
      <w:lvlText w:val=""/>
      <w:lvlJc w:val="left"/>
    </w:lvl>
    <w:lvl w:ilvl="5" w:tplc="4E86BA96">
      <w:numFmt w:val="decimal"/>
      <w:lvlText w:val=""/>
      <w:lvlJc w:val="left"/>
    </w:lvl>
    <w:lvl w:ilvl="6" w:tplc="BBCC379C">
      <w:numFmt w:val="decimal"/>
      <w:lvlText w:val=""/>
      <w:lvlJc w:val="left"/>
    </w:lvl>
    <w:lvl w:ilvl="7" w:tplc="DF1A9C60">
      <w:numFmt w:val="decimal"/>
      <w:lvlText w:val=""/>
      <w:lvlJc w:val="left"/>
    </w:lvl>
    <w:lvl w:ilvl="8" w:tplc="921E1EAE">
      <w:numFmt w:val="decimal"/>
      <w:lvlText w:val=""/>
      <w:lvlJc w:val="left"/>
    </w:lvl>
  </w:abstractNum>
  <w:abstractNum w:abstractNumId="3" w15:restartNumberingAfterBreak="0">
    <w:nsid w:val="26C22BE5"/>
    <w:multiLevelType w:val="hybridMultilevel"/>
    <w:tmpl w:val="369EC3EE"/>
    <w:lvl w:ilvl="0" w:tplc="02561026">
      <w:start w:val="1"/>
      <w:numFmt w:val="bullet"/>
      <w:lvlText w:val=""/>
      <w:lvlJc w:val="left"/>
      <w:pPr>
        <w:tabs>
          <w:tab w:val="num" w:pos="900"/>
        </w:tabs>
        <w:ind w:left="540" w:hanging="360"/>
      </w:pPr>
      <w:rPr>
        <w:rFonts w:ascii="Symbol" w:hAnsi="Symbol" w:hint="default"/>
      </w:rPr>
    </w:lvl>
    <w:lvl w:ilvl="1" w:tplc="D4321C5E">
      <w:numFmt w:val="decimal"/>
      <w:lvlText w:val=""/>
      <w:lvlJc w:val="left"/>
    </w:lvl>
    <w:lvl w:ilvl="2" w:tplc="C144FEEC">
      <w:numFmt w:val="decimal"/>
      <w:lvlText w:val=""/>
      <w:lvlJc w:val="left"/>
    </w:lvl>
    <w:lvl w:ilvl="3" w:tplc="3ECA584C">
      <w:numFmt w:val="decimal"/>
      <w:lvlText w:val=""/>
      <w:lvlJc w:val="left"/>
    </w:lvl>
    <w:lvl w:ilvl="4" w:tplc="C9348114">
      <w:numFmt w:val="decimal"/>
      <w:lvlText w:val=""/>
      <w:lvlJc w:val="left"/>
    </w:lvl>
    <w:lvl w:ilvl="5" w:tplc="7048E57E">
      <w:numFmt w:val="decimal"/>
      <w:lvlText w:val=""/>
      <w:lvlJc w:val="left"/>
    </w:lvl>
    <w:lvl w:ilvl="6" w:tplc="9D4E2B62">
      <w:numFmt w:val="decimal"/>
      <w:lvlText w:val=""/>
      <w:lvlJc w:val="left"/>
    </w:lvl>
    <w:lvl w:ilvl="7" w:tplc="D5E692EC">
      <w:numFmt w:val="decimal"/>
      <w:lvlText w:val=""/>
      <w:lvlJc w:val="left"/>
    </w:lvl>
    <w:lvl w:ilvl="8" w:tplc="1062C3F0">
      <w:numFmt w:val="decimal"/>
      <w:lvlText w:val=""/>
      <w:lvlJc w:val="left"/>
    </w:lvl>
  </w:abstractNum>
  <w:abstractNum w:abstractNumId="4" w15:restartNumberingAfterBreak="0">
    <w:nsid w:val="2A0C5880"/>
    <w:multiLevelType w:val="hybridMultilevel"/>
    <w:tmpl w:val="EAC4E67E"/>
    <w:lvl w:ilvl="0" w:tplc="0D68CF50">
      <w:start w:val="1"/>
      <w:numFmt w:val="bullet"/>
      <w:lvlText w:val=""/>
      <w:lvlJc w:val="left"/>
      <w:pPr>
        <w:tabs>
          <w:tab w:val="num" w:pos="900"/>
        </w:tabs>
        <w:ind w:left="540" w:hanging="360"/>
      </w:pPr>
      <w:rPr>
        <w:rFonts w:ascii="Symbol" w:hAnsi="Symbol" w:hint="default"/>
      </w:rPr>
    </w:lvl>
    <w:lvl w:ilvl="1" w:tplc="DCFA02FE">
      <w:numFmt w:val="decimal"/>
      <w:lvlText w:val=""/>
      <w:lvlJc w:val="left"/>
    </w:lvl>
    <w:lvl w:ilvl="2" w:tplc="469080F8">
      <w:numFmt w:val="decimal"/>
      <w:lvlText w:val=""/>
      <w:lvlJc w:val="left"/>
    </w:lvl>
    <w:lvl w:ilvl="3" w:tplc="2460E12E">
      <w:numFmt w:val="decimal"/>
      <w:lvlText w:val=""/>
      <w:lvlJc w:val="left"/>
    </w:lvl>
    <w:lvl w:ilvl="4" w:tplc="23C246D2">
      <w:numFmt w:val="decimal"/>
      <w:lvlText w:val=""/>
      <w:lvlJc w:val="left"/>
    </w:lvl>
    <w:lvl w:ilvl="5" w:tplc="5E5E9AB4">
      <w:numFmt w:val="decimal"/>
      <w:lvlText w:val=""/>
      <w:lvlJc w:val="left"/>
    </w:lvl>
    <w:lvl w:ilvl="6" w:tplc="71D6A95C">
      <w:numFmt w:val="decimal"/>
      <w:lvlText w:val=""/>
      <w:lvlJc w:val="left"/>
    </w:lvl>
    <w:lvl w:ilvl="7" w:tplc="9A483268">
      <w:numFmt w:val="decimal"/>
      <w:lvlText w:val=""/>
      <w:lvlJc w:val="left"/>
    </w:lvl>
    <w:lvl w:ilvl="8" w:tplc="1A04739A">
      <w:numFmt w:val="decimal"/>
      <w:lvlText w:val=""/>
      <w:lvlJc w:val="left"/>
    </w:lvl>
  </w:abstractNum>
  <w:abstractNum w:abstractNumId="5" w15:restartNumberingAfterBreak="0">
    <w:nsid w:val="2F7318C2"/>
    <w:multiLevelType w:val="hybridMultilevel"/>
    <w:tmpl w:val="F2D6C08A"/>
    <w:lvl w:ilvl="0" w:tplc="180CF06A">
      <w:start w:val="1"/>
      <w:numFmt w:val="bullet"/>
      <w:lvlText w:val=""/>
      <w:lvlJc w:val="left"/>
      <w:pPr>
        <w:tabs>
          <w:tab w:val="num" w:pos="900"/>
        </w:tabs>
        <w:ind w:left="540" w:hanging="360"/>
      </w:pPr>
      <w:rPr>
        <w:rFonts w:ascii="Symbol" w:hAnsi="Symbol" w:hint="default"/>
      </w:rPr>
    </w:lvl>
    <w:lvl w:ilvl="1" w:tplc="CE7021C8">
      <w:numFmt w:val="decimal"/>
      <w:lvlText w:val=""/>
      <w:lvlJc w:val="left"/>
    </w:lvl>
    <w:lvl w:ilvl="2" w:tplc="6B88D5F6">
      <w:numFmt w:val="decimal"/>
      <w:lvlText w:val=""/>
      <w:lvlJc w:val="left"/>
    </w:lvl>
    <w:lvl w:ilvl="3" w:tplc="EAAA113A">
      <w:numFmt w:val="decimal"/>
      <w:lvlText w:val=""/>
      <w:lvlJc w:val="left"/>
    </w:lvl>
    <w:lvl w:ilvl="4" w:tplc="61A684EA">
      <w:numFmt w:val="decimal"/>
      <w:lvlText w:val=""/>
      <w:lvlJc w:val="left"/>
    </w:lvl>
    <w:lvl w:ilvl="5" w:tplc="9F1C6CF0">
      <w:numFmt w:val="decimal"/>
      <w:lvlText w:val=""/>
      <w:lvlJc w:val="left"/>
    </w:lvl>
    <w:lvl w:ilvl="6" w:tplc="9AD0BDC4">
      <w:numFmt w:val="decimal"/>
      <w:lvlText w:val=""/>
      <w:lvlJc w:val="left"/>
    </w:lvl>
    <w:lvl w:ilvl="7" w:tplc="95E2AA36">
      <w:numFmt w:val="decimal"/>
      <w:lvlText w:val=""/>
      <w:lvlJc w:val="left"/>
    </w:lvl>
    <w:lvl w:ilvl="8" w:tplc="753A8C6A">
      <w:numFmt w:val="decimal"/>
      <w:lvlText w:val=""/>
      <w:lvlJc w:val="left"/>
    </w:lvl>
  </w:abstractNum>
  <w:abstractNum w:abstractNumId="6" w15:restartNumberingAfterBreak="0">
    <w:nsid w:val="3219186D"/>
    <w:multiLevelType w:val="hybridMultilevel"/>
    <w:tmpl w:val="71B24A70"/>
    <w:lvl w:ilvl="0" w:tplc="4056AACC">
      <w:start w:val="1"/>
      <w:numFmt w:val="bullet"/>
      <w:lvlText w:val=""/>
      <w:lvlJc w:val="left"/>
      <w:pPr>
        <w:tabs>
          <w:tab w:val="num" w:pos="900"/>
        </w:tabs>
        <w:ind w:left="540" w:hanging="360"/>
      </w:pPr>
      <w:rPr>
        <w:rFonts w:ascii="Symbol" w:hAnsi="Symbol" w:hint="default"/>
      </w:rPr>
    </w:lvl>
    <w:lvl w:ilvl="1" w:tplc="D59AF322">
      <w:numFmt w:val="decimal"/>
      <w:lvlText w:val=""/>
      <w:lvlJc w:val="left"/>
    </w:lvl>
    <w:lvl w:ilvl="2" w:tplc="E30A81CE">
      <w:numFmt w:val="decimal"/>
      <w:lvlText w:val=""/>
      <w:lvlJc w:val="left"/>
    </w:lvl>
    <w:lvl w:ilvl="3" w:tplc="58BA559E">
      <w:numFmt w:val="decimal"/>
      <w:lvlText w:val=""/>
      <w:lvlJc w:val="left"/>
    </w:lvl>
    <w:lvl w:ilvl="4" w:tplc="F088188E">
      <w:numFmt w:val="decimal"/>
      <w:lvlText w:val=""/>
      <w:lvlJc w:val="left"/>
    </w:lvl>
    <w:lvl w:ilvl="5" w:tplc="4F0257CC">
      <w:numFmt w:val="decimal"/>
      <w:lvlText w:val=""/>
      <w:lvlJc w:val="left"/>
    </w:lvl>
    <w:lvl w:ilvl="6" w:tplc="A816DB78">
      <w:numFmt w:val="decimal"/>
      <w:lvlText w:val=""/>
      <w:lvlJc w:val="left"/>
    </w:lvl>
    <w:lvl w:ilvl="7" w:tplc="197E7B5C">
      <w:numFmt w:val="decimal"/>
      <w:lvlText w:val=""/>
      <w:lvlJc w:val="left"/>
    </w:lvl>
    <w:lvl w:ilvl="8" w:tplc="E30E1934">
      <w:numFmt w:val="decimal"/>
      <w:lvlText w:val=""/>
      <w:lvlJc w:val="left"/>
    </w:lvl>
  </w:abstractNum>
  <w:abstractNum w:abstractNumId="7" w15:restartNumberingAfterBreak="0">
    <w:nsid w:val="340263BC"/>
    <w:multiLevelType w:val="hybridMultilevel"/>
    <w:tmpl w:val="C1C2BE2C"/>
    <w:lvl w:ilvl="0" w:tplc="4CA0F1C2">
      <w:start w:val="1"/>
      <w:numFmt w:val="bullet"/>
      <w:lvlText w:val=""/>
      <w:lvlJc w:val="left"/>
      <w:pPr>
        <w:tabs>
          <w:tab w:val="num" w:pos="900"/>
        </w:tabs>
        <w:ind w:left="540" w:hanging="360"/>
      </w:pPr>
      <w:rPr>
        <w:rFonts w:ascii="Symbol" w:hAnsi="Symbol" w:hint="default"/>
      </w:rPr>
    </w:lvl>
    <w:lvl w:ilvl="1" w:tplc="6652CB48">
      <w:numFmt w:val="decimal"/>
      <w:lvlText w:val=""/>
      <w:lvlJc w:val="left"/>
    </w:lvl>
    <w:lvl w:ilvl="2" w:tplc="096E3634">
      <w:numFmt w:val="decimal"/>
      <w:lvlText w:val=""/>
      <w:lvlJc w:val="left"/>
    </w:lvl>
    <w:lvl w:ilvl="3" w:tplc="E93E6E60">
      <w:numFmt w:val="decimal"/>
      <w:lvlText w:val=""/>
      <w:lvlJc w:val="left"/>
    </w:lvl>
    <w:lvl w:ilvl="4" w:tplc="EE3C09F0">
      <w:numFmt w:val="decimal"/>
      <w:lvlText w:val=""/>
      <w:lvlJc w:val="left"/>
    </w:lvl>
    <w:lvl w:ilvl="5" w:tplc="7D245748">
      <w:numFmt w:val="decimal"/>
      <w:lvlText w:val=""/>
      <w:lvlJc w:val="left"/>
    </w:lvl>
    <w:lvl w:ilvl="6" w:tplc="DB62B872">
      <w:numFmt w:val="decimal"/>
      <w:lvlText w:val=""/>
      <w:lvlJc w:val="left"/>
    </w:lvl>
    <w:lvl w:ilvl="7" w:tplc="8C90F49C">
      <w:numFmt w:val="decimal"/>
      <w:lvlText w:val=""/>
      <w:lvlJc w:val="left"/>
    </w:lvl>
    <w:lvl w:ilvl="8" w:tplc="90C08A7E">
      <w:numFmt w:val="decimal"/>
      <w:lvlText w:val=""/>
      <w:lvlJc w:val="left"/>
    </w:lvl>
  </w:abstractNum>
  <w:abstractNum w:abstractNumId="8" w15:restartNumberingAfterBreak="0">
    <w:nsid w:val="346D01C4"/>
    <w:multiLevelType w:val="hybridMultilevel"/>
    <w:tmpl w:val="C08667BA"/>
    <w:lvl w:ilvl="0" w:tplc="E0B2AC58">
      <w:start w:val="1"/>
      <w:numFmt w:val="bullet"/>
      <w:lvlText w:val=""/>
      <w:lvlJc w:val="left"/>
      <w:pPr>
        <w:tabs>
          <w:tab w:val="num" w:pos="900"/>
        </w:tabs>
        <w:ind w:left="540" w:hanging="360"/>
      </w:pPr>
      <w:rPr>
        <w:rFonts w:ascii="Symbol" w:hAnsi="Symbol" w:hint="default"/>
      </w:rPr>
    </w:lvl>
    <w:lvl w:ilvl="1" w:tplc="44365C32">
      <w:numFmt w:val="decimal"/>
      <w:lvlText w:val=""/>
      <w:lvlJc w:val="left"/>
    </w:lvl>
    <w:lvl w:ilvl="2" w:tplc="502AB0B2">
      <w:numFmt w:val="decimal"/>
      <w:lvlText w:val=""/>
      <w:lvlJc w:val="left"/>
    </w:lvl>
    <w:lvl w:ilvl="3" w:tplc="4C04CEBE">
      <w:numFmt w:val="decimal"/>
      <w:lvlText w:val=""/>
      <w:lvlJc w:val="left"/>
    </w:lvl>
    <w:lvl w:ilvl="4" w:tplc="F3267DA2">
      <w:numFmt w:val="decimal"/>
      <w:lvlText w:val=""/>
      <w:lvlJc w:val="left"/>
    </w:lvl>
    <w:lvl w:ilvl="5" w:tplc="2AFA41CC">
      <w:numFmt w:val="decimal"/>
      <w:lvlText w:val=""/>
      <w:lvlJc w:val="left"/>
    </w:lvl>
    <w:lvl w:ilvl="6" w:tplc="91B2D32E">
      <w:numFmt w:val="decimal"/>
      <w:lvlText w:val=""/>
      <w:lvlJc w:val="left"/>
    </w:lvl>
    <w:lvl w:ilvl="7" w:tplc="10C0F9C2">
      <w:numFmt w:val="decimal"/>
      <w:lvlText w:val=""/>
      <w:lvlJc w:val="left"/>
    </w:lvl>
    <w:lvl w:ilvl="8" w:tplc="3A1E12C6">
      <w:numFmt w:val="decimal"/>
      <w:lvlText w:val=""/>
      <w:lvlJc w:val="left"/>
    </w:lvl>
  </w:abstractNum>
  <w:abstractNum w:abstractNumId="9" w15:restartNumberingAfterBreak="0">
    <w:nsid w:val="3CE26C75"/>
    <w:multiLevelType w:val="hybridMultilevel"/>
    <w:tmpl w:val="1A0EEF5E"/>
    <w:lvl w:ilvl="0" w:tplc="B016E4E2">
      <w:start w:val="1"/>
      <w:numFmt w:val="bullet"/>
      <w:lvlText w:val=""/>
      <w:lvlJc w:val="left"/>
      <w:pPr>
        <w:tabs>
          <w:tab w:val="num" w:pos="900"/>
        </w:tabs>
        <w:ind w:left="540" w:hanging="360"/>
      </w:pPr>
      <w:rPr>
        <w:rFonts w:ascii="Symbol" w:hAnsi="Symbol" w:hint="default"/>
      </w:rPr>
    </w:lvl>
    <w:lvl w:ilvl="1" w:tplc="2F788E60">
      <w:numFmt w:val="decimal"/>
      <w:lvlText w:val=""/>
      <w:lvlJc w:val="left"/>
    </w:lvl>
    <w:lvl w:ilvl="2" w:tplc="7FA6A794">
      <w:numFmt w:val="decimal"/>
      <w:lvlText w:val=""/>
      <w:lvlJc w:val="left"/>
    </w:lvl>
    <w:lvl w:ilvl="3" w:tplc="8C0C2FD8">
      <w:numFmt w:val="decimal"/>
      <w:lvlText w:val=""/>
      <w:lvlJc w:val="left"/>
    </w:lvl>
    <w:lvl w:ilvl="4" w:tplc="F6E662BC">
      <w:numFmt w:val="decimal"/>
      <w:lvlText w:val=""/>
      <w:lvlJc w:val="left"/>
    </w:lvl>
    <w:lvl w:ilvl="5" w:tplc="247C06DA">
      <w:numFmt w:val="decimal"/>
      <w:lvlText w:val=""/>
      <w:lvlJc w:val="left"/>
    </w:lvl>
    <w:lvl w:ilvl="6" w:tplc="5366C87E">
      <w:numFmt w:val="decimal"/>
      <w:lvlText w:val=""/>
      <w:lvlJc w:val="left"/>
    </w:lvl>
    <w:lvl w:ilvl="7" w:tplc="269EBF16">
      <w:numFmt w:val="decimal"/>
      <w:lvlText w:val=""/>
      <w:lvlJc w:val="left"/>
    </w:lvl>
    <w:lvl w:ilvl="8" w:tplc="579C7744">
      <w:numFmt w:val="decimal"/>
      <w:lvlText w:val=""/>
      <w:lvlJc w:val="left"/>
    </w:lvl>
  </w:abstractNum>
  <w:abstractNum w:abstractNumId="10" w15:restartNumberingAfterBreak="0">
    <w:nsid w:val="695367B4"/>
    <w:multiLevelType w:val="hybridMultilevel"/>
    <w:tmpl w:val="825C8374"/>
    <w:lvl w:ilvl="0" w:tplc="7FC2A1E2">
      <w:start w:val="1"/>
      <w:numFmt w:val="bullet"/>
      <w:lvlText w:val=""/>
      <w:lvlJc w:val="left"/>
      <w:pPr>
        <w:tabs>
          <w:tab w:val="num" w:pos="900"/>
        </w:tabs>
        <w:ind w:left="540" w:hanging="360"/>
      </w:pPr>
      <w:rPr>
        <w:rFonts w:ascii="Symbol" w:hAnsi="Symbol" w:hint="default"/>
      </w:rPr>
    </w:lvl>
    <w:lvl w:ilvl="1" w:tplc="D6E48A76">
      <w:start w:val="1"/>
      <w:numFmt w:val="bullet"/>
      <w:lvlText w:val="o"/>
      <w:lvlJc w:val="left"/>
      <w:pPr>
        <w:tabs>
          <w:tab w:val="num" w:pos="1440"/>
        </w:tabs>
        <w:ind w:left="1080" w:hanging="360"/>
      </w:pPr>
      <w:rPr>
        <w:rFonts w:ascii="Courier New" w:hAnsi="Courier New" w:cs="Courier New" w:hint="default"/>
      </w:rPr>
    </w:lvl>
    <w:lvl w:ilvl="2" w:tplc="3BF44E6C">
      <w:numFmt w:val="decimal"/>
      <w:lvlText w:val=""/>
      <w:lvlJc w:val="left"/>
    </w:lvl>
    <w:lvl w:ilvl="3" w:tplc="D6C0160E">
      <w:numFmt w:val="decimal"/>
      <w:lvlText w:val=""/>
      <w:lvlJc w:val="left"/>
    </w:lvl>
    <w:lvl w:ilvl="4" w:tplc="8856F162">
      <w:numFmt w:val="decimal"/>
      <w:lvlText w:val=""/>
      <w:lvlJc w:val="left"/>
    </w:lvl>
    <w:lvl w:ilvl="5" w:tplc="C5B2DD04">
      <w:numFmt w:val="decimal"/>
      <w:lvlText w:val=""/>
      <w:lvlJc w:val="left"/>
    </w:lvl>
    <w:lvl w:ilvl="6" w:tplc="783CFA0A">
      <w:numFmt w:val="decimal"/>
      <w:lvlText w:val=""/>
      <w:lvlJc w:val="left"/>
    </w:lvl>
    <w:lvl w:ilvl="7" w:tplc="09043916">
      <w:numFmt w:val="decimal"/>
      <w:lvlText w:val=""/>
      <w:lvlJc w:val="left"/>
    </w:lvl>
    <w:lvl w:ilvl="8" w:tplc="8F040622">
      <w:numFmt w:val="decimal"/>
      <w:lvlText w:val=""/>
      <w:lvlJc w:val="left"/>
    </w:lvl>
  </w:abstractNum>
  <w:abstractNum w:abstractNumId="11" w15:restartNumberingAfterBreak="0">
    <w:nsid w:val="7B245803"/>
    <w:multiLevelType w:val="hybridMultilevel"/>
    <w:tmpl w:val="88F6E81A"/>
    <w:lvl w:ilvl="0" w:tplc="B102453C">
      <w:start w:val="1"/>
      <w:numFmt w:val="bullet"/>
      <w:lvlText w:val=""/>
      <w:lvlJc w:val="left"/>
      <w:pPr>
        <w:tabs>
          <w:tab w:val="num" w:pos="900"/>
        </w:tabs>
        <w:ind w:left="540" w:hanging="360"/>
      </w:pPr>
      <w:rPr>
        <w:rFonts w:ascii="Symbol" w:hAnsi="Symbol" w:hint="default"/>
      </w:rPr>
    </w:lvl>
    <w:lvl w:ilvl="1" w:tplc="699AAAD8">
      <w:numFmt w:val="decimal"/>
      <w:lvlText w:val=""/>
      <w:lvlJc w:val="left"/>
    </w:lvl>
    <w:lvl w:ilvl="2" w:tplc="C33EC306">
      <w:numFmt w:val="decimal"/>
      <w:lvlText w:val=""/>
      <w:lvlJc w:val="left"/>
    </w:lvl>
    <w:lvl w:ilvl="3" w:tplc="516884A8">
      <w:numFmt w:val="decimal"/>
      <w:lvlText w:val=""/>
      <w:lvlJc w:val="left"/>
    </w:lvl>
    <w:lvl w:ilvl="4" w:tplc="C9902494">
      <w:numFmt w:val="decimal"/>
      <w:lvlText w:val=""/>
      <w:lvlJc w:val="left"/>
    </w:lvl>
    <w:lvl w:ilvl="5" w:tplc="84CC2F0E">
      <w:numFmt w:val="decimal"/>
      <w:lvlText w:val=""/>
      <w:lvlJc w:val="left"/>
    </w:lvl>
    <w:lvl w:ilvl="6" w:tplc="7F80C6AE">
      <w:numFmt w:val="decimal"/>
      <w:lvlText w:val=""/>
      <w:lvlJc w:val="left"/>
    </w:lvl>
    <w:lvl w:ilvl="7" w:tplc="7B283BE4">
      <w:numFmt w:val="decimal"/>
      <w:lvlText w:val=""/>
      <w:lvlJc w:val="left"/>
    </w:lvl>
    <w:lvl w:ilvl="8" w:tplc="F324688E">
      <w:numFmt w:val="decimal"/>
      <w:lvlText w:val=""/>
      <w:lvlJc w:val="left"/>
    </w:lvl>
  </w:abstractNum>
  <w:num w:numId="1" w16cid:durableId="1249464957">
    <w:abstractNumId w:val="10"/>
  </w:num>
  <w:num w:numId="2" w16cid:durableId="542597904">
    <w:abstractNumId w:val="8"/>
  </w:num>
  <w:num w:numId="3" w16cid:durableId="472068256">
    <w:abstractNumId w:val="5"/>
  </w:num>
  <w:num w:numId="4" w16cid:durableId="838421749">
    <w:abstractNumId w:val="4"/>
  </w:num>
  <w:num w:numId="5" w16cid:durableId="921109049">
    <w:abstractNumId w:val="3"/>
  </w:num>
  <w:num w:numId="6" w16cid:durableId="961307106">
    <w:abstractNumId w:val="11"/>
  </w:num>
  <w:num w:numId="7" w16cid:durableId="1853833054">
    <w:abstractNumId w:val="9"/>
  </w:num>
  <w:num w:numId="8" w16cid:durableId="686490710">
    <w:abstractNumId w:val="7"/>
  </w:num>
  <w:num w:numId="9" w16cid:durableId="1418939717">
    <w:abstractNumId w:val="1"/>
  </w:num>
  <w:num w:numId="10" w16cid:durableId="1684936862">
    <w:abstractNumId w:val="6"/>
  </w:num>
  <w:num w:numId="11" w16cid:durableId="138227313">
    <w:abstractNumId w:val="2"/>
  </w:num>
  <w:num w:numId="12" w16cid:durableId="853346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207"/>
    <w:rsid w:val="001B54AC"/>
    <w:rsid w:val="004E276B"/>
    <w:rsid w:val="00584BE6"/>
    <w:rsid w:val="006633EE"/>
    <w:rsid w:val="006C2FA7"/>
    <w:rsid w:val="009662AB"/>
    <w:rsid w:val="00B3244B"/>
    <w:rsid w:val="00B37960"/>
    <w:rsid w:val="00B61207"/>
    <w:rsid w:val="00C56D3A"/>
    <w:rsid w:val="00CD24E7"/>
    <w:rsid w:val="00E7474A"/>
    <w:rsid w:val="00F3025E"/>
    <w:rsid w:val="00FF65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7C470"/>
  <w15:docId w15:val="{87179F42-757E-4C09-9108-BCD0B878F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1255</Words>
  <Characters>7155</Characters>
  <Application>Microsoft Office Word</Application>
  <DocSecurity>0</DocSecurity>
  <Lines>59</Lines>
  <Paragraphs>16</Paragraphs>
  <ScaleCrop>false</ScaleCrop>
  <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Steve Harper</cp:lastModifiedBy>
  <cp:revision>2</cp:revision>
  <dcterms:created xsi:type="dcterms:W3CDTF">2025-07-11T22:35:00Z</dcterms:created>
  <dcterms:modified xsi:type="dcterms:W3CDTF">2025-07-11T22:35:00Z</dcterms:modified>
</cp:coreProperties>
</file>